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F24D" w14:textId="3502DEBD" w:rsidR="001C5290" w:rsidRPr="0068697C" w:rsidRDefault="005420D5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Palmer amaranth</w:t>
      </w:r>
    </w:p>
    <w:p w14:paraId="7167E7D7" w14:textId="49DEA0FB" w:rsidR="005420D5" w:rsidRPr="0068697C" w:rsidRDefault="00FF1456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Biology, Ident, and MGMT</w:t>
      </w:r>
    </w:p>
    <w:p w14:paraId="536B3E04" w14:textId="77777777" w:rsidR="005420D5" w:rsidRPr="0068697C" w:rsidRDefault="005420D5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</w:p>
    <w:p w14:paraId="4C6EDFF2" w14:textId="77777777" w:rsidR="005420D5" w:rsidRPr="0068697C" w:rsidRDefault="005420D5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Background</w:t>
      </w:r>
    </w:p>
    <w:p w14:paraId="3168974F" w14:textId="15A657A2" w:rsidR="00711F41" w:rsidRPr="0068697C" w:rsidRDefault="00495C3A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Palmer amaranth (</w:t>
      </w:r>
      <w:r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Amaranthus </w:t>
      </w:r>
      <w:proofErr w:type="spellStart"/>
      <w:r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palmeri</w:t>
      </w:r>
      <w:proofErr w:type="spellEnd"/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) is an aggressive</w:t>
      </w:r>
      <w:r w:rsidR="003020D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invasive </w:t>
      </w:r>
      <w:r w:rsidR="007077D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pig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weed native to the desert regions of the southwest United States and northern Mexico. It has several common names including </w:t>
      </w:r>
      <w:proofErr w:type="spellStart"/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carelessweed</w:t>
      </w:r>
      <w:proofErr w:type="spellEnd"/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dioecious amaranth, Palmer’s amaranth, and Palmer’s pigweed.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0B685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is documented in </w:t>
      </w:r>
      <w:r w:rsidR="00D21D2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39</w:t>
      </w:r>
      <w:r w:rsidR="000B685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states including </w:t>
      </w:r>
      <w:r w:rsidR="001731F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Idaho, </w:t>
      </w:r>
      <w:proofErr w:type="gramStart"/>
      <w:r w:rsidR="001731F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Oregon</w:t>
      </w:r>
      <w:proofErr w:type="gramEnd"/>
      <w:r w:rsidR="001731F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Washington state</w:t>
      </w:r>
      <w:r w:rsidR="00E66E6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0B685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11F4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has developed resistance to multiple classes of herbicides </w:t>
      </w:r>
      <w:r w:rsidR="006D786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with</w:t>
      </w:r>
      <w:r w:rsidR="00711F4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different modes of action</w:t>
      </w:r>
      <w:r w:rsidR="006D786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</w:t>
      </w:r>
      <w:r w:rsidR="00DD4E2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including </w:t>
      </w:r>
      <w:r w:rsidR="00DD4E2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ALS inhibitors, triazines, HPPD inhibitors, dinitroanilines, and glyphosate</w:t>
      </w:r>
      <w:r w:rsidR="006D786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="00711F4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making it challenging </w:t>
      </w:r>
      <w:r w:rsidR="006D786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and expensive </w:t>
      </w:r>
      <w:r w:rsidR="00711F4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to control.</w:t>
      </w:r>
      <w:r w:rsidR="000E2FF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Its </w:t>
      </w:r>
      <w:proofErr w:type="gramStart"/>
      <w:r w:rsidR="000E2FF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life-cycle</w:t>
      </w:r>
      <w:proofErr w:type="gramEnd"/>
      <w:r w:rsidR="000E2FF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is adapted to desert conditions</w:t>
      </w:r>
      <w:r w:rsidR="00D3443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but</w:t>
      </w:r>
      <w:r w:rsidR="00711F4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from these plants continues to spread across the country causing extensive crop losses in many </w:t>
      </w:r>
      <w:r w:rsidR="00DF1FD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diverse </w:t>
      </w:r>
      <w:r w:rsidR="00711F4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areas.</w:t>
      </w:r>
    </w:p>
    <w:p w14:paraId="2A8B526D" w14:textId="77777777" w:rsidR="00685EF3" w:rsidRPr="0068697C" w:rsidRDefault="00685EF3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5447A7B7" w14:textId="55654EC2" w:rsidR="00685EF3" w:rsidRPr="0068697C" w:rsidRDefault="005420D5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Description</w:t>
      </w:r>
    </w:p>
    <w:p w14:paraId="574A0628" w14:textId="747662BC" w:rsidR="0044181B" w:rsidRPr="0068697C" w:rsidRDefault="009D2F47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is a problematic </w:t>
      </w:r>
      <w:r w:rsidR="00EE67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summer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annual broadleaf weed in the amaranth genus</w:t>
      </w:r>
      <w:r w:rsidR="00CC51C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C34E6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It is a diecious plant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native only to the Southwest and is considered a weed throughout the country. </w:t>
      </w:r>
      <w:r w:rsidR="00EE67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It commonly grows 6-8 feet tall but can easily reach 10 feet.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Palmer amaranth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is 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similar 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in structure 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to other pigweeds such as </w:t>
      </w:r>
      <w:r w:rsidR="00055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Powell amaranth, 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common </w:t>
      </w:r>
      <w:proofErr w:type="spellStart"/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waterhemp</w:t>
      </w:r>
      <w:proofErr w:type="spellEnd"/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</w:t>
      </w:r>
      <w:r w:rsidR="00055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and redroot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pigweed.</w:t>
      </w:r>
      <w:r w:rsidR="007F022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FC097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Seedlings are nearly identical</w:t>
      </w:r>
      <w:r w:rsidR="00096F8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(pictures</w:t>
      </w:r>
      <w:proofErr w:type="gramStart"/>
      <w:r w:rsidR="00096F8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)</w:t>
      </w:r>
      <w:proofErr w:type="gramEnd"/>
      <w:r w:rsidR="00FC097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but differences </w:t>
      </w:r>
      <w:r w:rsidR="00096F8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can be noted soon thereafter.  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Green leaves are 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oval to diamond-shaped, </w:t>
      </w:r>
      <w:proofErr w:type="gramStart"/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smooth</w:t>
      </w:r>
      <w:proofErr w:type="gramEnd"/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arranged in an alternate pattern that grows symmetrically around the stem</w:t>
      </w:r>
      <w:r w:rsidR="009E544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– much like a poinsettia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Some leaves have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 small, sharp spine at the leaf tip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4A01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(picture) 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or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 whitish V-shaped mark on </w:t>
      </w:r>
      <w:r w:rsidR="004A01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the leaf surface</w:t>
      </w:r>
      <w:r w:rsidR="008F3F0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however n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ot all </w:t>
      </w:r>
      <w:r w:rsidR="002447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plants display th</w:t>
      </w:r>
      <w:r w:rsidR="004A01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4A01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characteristic</w:t>
      </w:r>
      <w:r w:rsidR="004A01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8F3F0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320CD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8F3F0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</w:t>
      </w:r>
      <w:r w:rsidR="00320CD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herefore</w:t>
      </w:r>
      <w:r w:rsidR="00096F8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="00320CD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determining characteristics of</w:t>
      </w:r>
      <w:r w:rsidR="008F3F0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Palmer amaranth</w:t>
      </w:r>
      <w:r w:rsidR="00320CD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include</w:t>
      </w:r>
      <w:r w:rsidR="00B4647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smooth (lack of hair) stems and leaves</w:t>
      </w:r>
      <w:r w:rsidR="00864DB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particularly on the </w:t>
      </w:r>
      <w:r w:rsidR="00AA1F7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stems toward the newest growth</w:t>
      </w:r>
      <w:r w:rsidR="00D17D6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the </w:t>
      </w:r>
      <w:r w:rsidR="002447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large </w:t>
      </w:r>
      <w:r w:rsidR="00D17D6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size of the seed head</w:t>
      </w:r>
      <w:r w:rsidR="00AA1F7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spike</w:t>
      </w:r>
      <w:r w:rsidR="00D17D6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="00DC130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</w:t>
      </w:r>
      <w:r w:rsidR="00320CD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the </w:t>
      </w:r>
      <w:r w:rsidR="002447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extended </w:t>
      </w:r>
      <w:r w:rsidR="00320CD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length of the petiole. </w:t>
      </w:r>
      <w:r w:rsidR="00DC130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3497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</w:t>
      </w:r>
      <w:r w:rsidR="00DC130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etioles o</w:t>
      </w:r>
      <w:r w:rsidR="0073497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f</w:t>
      </w:r>
      <w:r w:rsidR="00DC130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Palmer amaranth</w:t>
      </w:r>
      <w:r w:rsidR="0073497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plants</w:t>
      </w:r>
      <w:r w:rsidR="00A438A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particularly the more mature leaves, are longer than the length of the leaf (picture)</w:t>
      </w:r>
      <w:r w:rsidR="00807E2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 The </w:t>
      </w:r>
      <w:r w:rsidR="0073497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female seedheads can be up to </w:t>
      </w:r>
      <w:r w:rsidR="00C144C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three feet in length</w:t>
      </w:r>
      <w:r w:rsidR="0069398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have stiff, sharp bracts that give the seed head a prickly feeling when touched</w:t>
      </w:r>
      <w:r w:rsidR="002447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 In contrast, </w:t>
      </w:r>
      <w:r w:rsidR="009B51F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r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edroot </w:t>
      </w:r>
      <w:r w:rsidR="002447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pigweed and Powell amaranth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have fine hairs on their stems and leaves</w:t>
      </w:r>
      <w:r w:rsidR="002447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the seedhead spikes </w:t>
      </w:r>
      <w:r w:rsidR="00CE018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are much shorter and less spiny than Palmer amaranth</w:t>
      </w:r>
      <w:r w:rsidR="006F3C4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(picture)</w:t>
      </w:r>
      <w:r w:rsidR="0044181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</w:p>
    <w:p w14:paraId="39B359F7" w14:textId="77777777" w:rsidR="00685EF3" w:rsidRPr="0068697C" w:rsidRDefault="00685EF3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7A6C4093" w14:textId="3DE5F34B" w:rsidR="0045740D" w:rsidRPr="0068697C" w:rsidRDefault="005420D5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has </w:t>
      </w:r>
      <w:r w:rsidR="006F3C4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long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germination and emergence window</w:t>
      </w:r>
      <w:r w:rsidR="008A5C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98569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8A5C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O</w:t>
      </w:r>
      <w:r w:rsidR="0098569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ften emerging in mid-May and extending into </w:t>
      </w:r>
      <w:r w:rsidR="008A5C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September</w:t>
      </w:r>
      <w:r w:rsidR="00F446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="0098569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F446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it </w:t>
      </w:r>
      <w:r w:rsidR="0098569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allow</w:t>
      </w:r>
      <w:r w:rsidR="00F446E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98569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for multiple flushes per season </w:t>
      </w:r>
      <w:r w:rsidR="00B132D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and is a prolific seed producer.  Plants have been known to produce up to 250,000 seeds on a single plant</w:t>
      </w:r>
      <w:r w:rsidR="00CD521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with </w:t>
      </w:r>
      <w:r w:rsidR="005A23A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some cases reaching close to 500,000</w:t>
      </w:r>
      <w:r w:rsidR="00B132D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5F4E4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="005A23A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Seeds are viable for 3-5 years in the soil</w:t>
      </w:r>
      <w:r w:rsidR="008830A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  R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apid growth rates </w:t>
      </w:r>
      <w:r w:rsidR="005F4E4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of up to 2-3 inches per day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and high water use efficiency</w:t>
      </w:r>
      <w:r w:rsidR="005F4E4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make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</w:t>
      </w:r>
      <w:r w:rsidR="002C54C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 highly competitive plant in cropping systems</w:t>
      </w:r>
      <w:r w:rsidR="00E0537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reducing yield in many crops including corn, soybeans, </w:t>
      </w:r>
      <w:r w:rsidR="008830A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sugar beets</w:t>
      </w:r>
      <w:r w:rsidR="00E0537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dry beans, and potatoes. </w:t>
      </w:r>
      <w:r w:rsidR="00B371D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As a diecious plant, </w:t>
      </w:r>
      <w:r w:rsidR="0096305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individual plants are either male or female</w:t>
      </w:r>
      <w:r w:rsidR="00466E6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thereby forcing outcrossing between populations </w:t>
      </w:r>
      <w:r w:rsidR="00FD1C0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and </w:t>
      </w:r>
      <w:r w:rsidR="00466E6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allowing for higher genetic diversity.  </w:t>
      </w:r>
      <w:r w:rsidR="00FD1C0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This outcrossing allows</w:t>
      </w:r>
      <w:r w:rsidR="00FD1C0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Palmer amaranth the ability to adapt and quickly spread herbicide resistance genes when selection pressure</w:t>
      </w:r>
      <w:r w:rsidR="000F488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(such as using only a single mode of action)</w:t>
      </w:r>
      <w:r w:rsidR="00FD1C0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is applied</w:t>
      </w:r>
      <w:r w:rsidR="0045740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0F488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E0537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57D0B370" w14:textId="77777777" w:rsidR="00685EF3" w:rsidRPr="0068697C" w:rsidRDefault="00685EF3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60008887" w14:textId="76EC06E0" w:rsidR="005420D5" w:rsidRPr="0068697C" w:rsidRDefault="005420D5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can also be toxic to livestock animals due to the presence of nitrates in the leaves.  </w:t>
      </w:r>
    </w:p>
    <w:p w14:paraId="7F68EA28" w14:textId="77777777" w:rsidR="00685EF3" w:rsidRPr="0068697C" w:rsidRDefault="00685EF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6B5EE82A" w14:textId="308F2AC7" w:rsidR="005420D5" w:rsidRPr="0068697C" w:rsidRDefault="005420D5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Habitat</w:t>
      </w:r>
    </w:p>
    <w:p w14:paraId="32FD8D3E" w14:textId="5C8F8471" w:rsidR="005420D5" w:rsidRPr="0068697C" w:rsidRDefault="005420D5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Palmer amaranth is adapted to the arid habitat of the desert southwest</w:t>
      </w:r>
      <w:r w:rsidR="00BF096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ern United States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 Outside of its native range, Palmer amaranth has been documented in annual row crop fields and disturbed</w:t>
      </w:r>
      <w:r w:rsidR="00BF096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sites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F72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="00ED483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It was first reported outside its native habitat in 1915</w:t>
      </w:r>
      <w:r w:rsidR="00BF202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 Virginia.  </w:t>
      </w:r>
      <w:r w:rsidR="00300C5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Seventy-four</w:t>
      </w:r>
      <w:r w:rsidR="00E459F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years later i</w:t>
      </w:r>
      <w:r w:rsidR="00EA0FE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 was </w:t>
      </w:r>
      <w:r w:rsidR="00E459F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mentioned</w:t>
      </w:r>
      <w:r w:rsidR="00EA0FE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 a weed survey in South Carolina</w:t>
      </w:r>
      <w:r w:rsidR="00E459F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EA0FE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E459F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EA0FE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ince th</w:t>
      </w:r>
      <w:r w:rsidR="00E459F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at time, it</w:t>
      </w:r>
      <w:r w:rsidR="00EA0FE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has been ranked</w:t>
      </w:r>
      <w:r w:rsidR="0077322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as </w:t>
      </w:r>
      <w:r w:rsidR="00BF096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one of </w:t>
      </w:r>
      <w:r w:rsidR="0077322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the most troublesome weed</w:t>
      </w:r>
      <w:r w:rsidR="00BF096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77322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 crops such as cotton</w:t>
      </w:r>
      <w:r w:rsidR="00BF096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="0077322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soybeans</w:t>
      </w:r>
      <w:r w:rsidR="00BF096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and sugar beets</w:t>
      </w:r>
      <w:r w:rsidR="0077322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 </w:t>
      </w:r>
      <w:r w:rsidR="00F72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is adaptable and invasive. Evidence of its adaptability is the success of populations </w:t>
      </w:r>
      <w:r w:rsidR="00F60C2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across the United States, particularly in places </w:t>
      </w:r>
      <w:r w:rsidR="00D331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such as</w:t>
      </w:r>
      <w:r w:rsidR="00F60C2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F72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Michigan</w:t>
      </w:r>
      <w:r w:rsidR="00F60C2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Montana, </w:t>
      </w:r>
      <w:r w:rsidR="00F72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northern Indiana</w:t>
      </w:r>
      <w:r w:rsidR="00F60C2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and most recently Idaho, Oregon, and Washington</w:t>
      </w:r>
      <w:r w:rsidR="00F72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where average temperatures are</w:t>
      </w:r>
      <w:r w:rsidR="002B0C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frequently</w:t>
      </w:r>
      <w:r w:rsidR="00F726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below the preferred temperatures of native Palmer populations.</w:t>
      </w:r>
    </w:p>
    <w:p w14:paraId="4C2A33AB" w14:textId="77777777" w:rsidR="002D3B6A" w:rsidRDefault="002D3B6A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44205246" w14:textId="09ACFB1D" w:rsidR="005420D5" w:rsidRPr="0068697C" w:rsidRDefault="005420D5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Means of spread and </w:t>
      </w:r>
      <w:proofErr w:type="gramStart"/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distribution</w:t>
      </w:r>
      <w:proofErr w:type="gramEnd"/>
    </w:p>
    <w:p w14:paraId="07C3E82A" w14:textId="77777777" w:rsidR="00EC5ABD" w:rsidRPr="0068697C" w:rsidRDefault="005420D5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Seed is the means of spread and female plants are prolific seed producers.</w:t>
      </w:r>
      <w:r w:rsidR="0041389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Seed can be spread in water movement, by wildlife and via agricultural practices such as plowing, </w:t>
      </w:r>
      <w:r w:rsidR="004173E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harvesting,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spreading manure.</w:t>
      </w:r>
      <w:r w:rsidR="006773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6773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</w:t>
      </w:r>
      <w:r w:rsidR="006773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lastRenderedPageBreak/>
        <w:t>amaranth seeds are rather small and thrive in no-till or minimum tillage fields. In those situations, seeds are allowed to stay in their ideal emergence zone</w:t>
      </w:r>
      <w:r w:rsidR="00C32F6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-</w:t>
      </w:r>
      <w:r w:rsidR="006773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the top inch of soil. </w:t>
      </w:r>
      <w:r w:rsidR="007344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Seeds are</w:t>
      </w:r>
      <w:r w:rsidR="006773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easily transport</w:t>
      </w:r>
      <w:r w:rsidR="007344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ed </w:t>
      </w:r>
      <w:r w:rsidR="006773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through grain, seed, or feed contamination or on equipment such as combines</w:t>
      </w:r>
      <w:r w:rsidR="00806A3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="00410D2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trucks</w:t>
      </w:r>
      <w:r w:rsidR="00806A3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or even muddy boots</w:t>
      </w:r>
      <w:r w:rsidR="006773B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</w:p>
    <w:p w14:paraId="3CD94907" w14:textId="77777777" w:rsidR="00685EF3" w:rsidRPr="0068697C" w:rsidRDefault="00685EF3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01747004" w14:textId="51E44288" w:rsidR="005420D5" w:rsidRPr="0068697C" w:rsidRDefault="005420D5" w:rsidP="00685EF3">
      <w:pPr>
        <w:shd w:val="clear" w:color="auto" w:fill="FFFFFF"/>
        <w:spacing w:after="150" w:line="240" w:lineRule="auto"/>
        <w:contextualSpacing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competes aggressively with crops. Yield losses </w:t>
      </w:r>
      <w:r w:rsidR="00985F4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from 70-91%</w:t>
      </w:r>
      <w:r w:rsidR="00F235D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have been shown in corn, soybean, peanut, dry bean, and sugar beets. </w:t>
      </w:r>
      <w:r w:rsidR="00071E5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710B19A8" w14:textId="77777777" w:rsidR="00685EF3" w:rsidRPr="0068697C" w:rsidRDefault="00685EF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6AFA01F2" w14:textId="7C80B776" w:rsidR="005420D5" w:rsidRPr="0068697C" w:rsidRDefault="005420D5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Prevention and management</w:t>
      </w:r>
    </w:p>
    <w:p w14:paraId="34BD7095" w14:textId="691DD9C9" w:rsidR="00C123E0" w:rsidRPr="0068697C" w:rsidRDefault="00256E8D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G</w:t>
      </w:r>
      <w:r w:rsidR="009E4FE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rowers and landowners should be as proactive as possible in identifying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03034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almer amaranth </w:t>
      </w:r>
      <w:r w:rsidR="00BD70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and taking actions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to prevent establishment. </w:t>
      </w:r>
      <w:r w:rsidR="00BD70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Following the </w:t>
      </w:r>
      <w:r w:rsidR="00C5582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pattern</w:t>
      </w:r>
      <w:r w:rsidR="00BD70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 of Early Detection</w:t>
      </w:r>
      <w:r w:rsidR="00C5582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</w:t>
      </w:r>
      <w:r w:rsidR="00BD70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Rapid Response</w:t>
      </w:r>
      <w:r w:rsidR="00C5582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(EDRR) growers should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actively search for it in crop fields, borders, ditches, conservation lands</w:t>
      </w:r>
      <w:r w:rsidR="0033110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roadsides 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and around dairies</w:t>
      </w:r>
      <w:r w:rsidR="00B7138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 </w:t>
      </w:r>
      <w:r w:rsidR="001B4CF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If identified, </w:t>
      </w:r>
      <w:r w:rsidR="00AA175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the goal should be to </w:t>
      </w:r>
      <w:r w:rsidR="007F0AC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immediately </w:t>
      </w:r>
      <w:r w:rsidR="00AA175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prevent establishment.  For </w:t>
      </w:r>
      <w:r w:rsidR="00CF1E5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already </w:t>
      </w:r>
      <w:r w:rsidR="00AA175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established populations, </w:t>
      </w:r>
      <w:r w:rsidR="00E63D4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the main management goal should be to reduce early-season competition with crops and prevent all Palmer amaranth plants from producing seed.  </w:t>
      </w:r>
      <w:r w:rsidR="00A23A8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Always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clean vehicles, equipment and clothing</w:t>
      </w:r>
      <w:r w:rsidR="00697A9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that </w:t>
      </w:r>
      <w:proofErr w:type="gramStart"/>
      <w:r w:rsidR="00697A9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come in contact with</w:t>
      </w:r>
      <w:proofErr w:type="gramEnd"/>
      <w:r w:rsidR="00697A9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the weed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prior to exiting </w:t>
      </w:r>
      <w:r w:rsidR="00A23A8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any infested area</w:t>
      </w:r>
      <w:r w:rsidR="00697A9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s.  </w:t>
      </w:r>
      <w:r w:rsidR="00F32C5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Ensure</w:t>
      </w:r>
      <w:r w:rsidR="00E35D7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machinery is clean when moved field to field</w:t>
      </w:r>
      <w:r w:rsidR="00ED1BF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 </w:t>
      </w:r>
      <w:r w:rsidR="00B03D1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Combines</w:t>
      </w:r>
      <w:r w:rsidR="00374C1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have been known to be one of the largest contributors to the spread of Palmer amaranth seed.  </w:t>
      </w:r>
      <w:r w:rsidR="00F32C5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If </w:t>
      </w:r>
      <w:r w:rsidR="004430F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 grower has field</w:t>
      </w:r>
      <w:r w:rsidR="00C03F1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4430F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with </w:t>
      </w:r>
      <w:r w:rsidR="00C03F1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any</w:t>
      </w:r>
      <w:r w:rsidR="004430F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infestation</w:t>
      </w:r>
      <w:r w:rsidR="00C03F1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4430F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measures should be taken to harvest</w:t>
      </w:r>
      <w:r w:rsidR="00C03F1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those fields last</w:t>
      </w:r>
      <w:r w:rsidR="0032472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to prevent transport </w:t>
      </w:r>
      <w:r w:rsidR="00FF4AA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of seed </w:t>
      </w:r>
      <w:r w:rsidR="0032472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to other areas of the farm</w:t>
      </w:r>
      <w:r w:rsidR="007A316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or other farms in the case of a </w:t>
      </w:r>
      <w:r w:rsidR="0094325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custom harvesting operation.</w:t>
      </w:r>
      <w:r w:rsidR="004430F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5F50EB7D" w14:textId="68703C12" w:rsidR="00E35D72" w:rsidRPr="0068697C" w:rsidRDefault="00BE48C4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The most effective Palmer amaranth management plans will include</w:t>
      </w:r>
      <w:r w:rsidR="009F6BD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 Whole-Farm integrated approach.</w:t>
      </w:r>
      <w:r w:rsidR="00E247E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The following sections address </w:t>
      </w:r>
      <w:r w:rsidR="00AE3E0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practices that are effective in helping to combat establishment of Palmer amaranth.</w:t>
      </w:r>
    </w:p>
    <w:p w14:paraId="047B27CC" w14:textId="77777777" w:rsidR="00685EF3" w:rsidRPr="0068697C" w:rsidRDefault="00685EF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7D19ED84" w14:textId="66B9E460" w:rsidR="00685EF3" w:rsidRPr="0068697C" w:rsidRDefault="00FF1456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Cultural Practices </w:t>
      </w:r>
    </w:p>
    <w:p w14:paraId="7A830CCB" w14:textId="3756196B" w:rsidR="004700E0" w:rsidRPr="0068697C" w:rsidRDefault="00C123E0" w:rsidP="00685EF3">
      <w:pPr>
        <w:shd w:val="clear" w:color="auto" w:fill="FFFFFF"/>
        <w:spacing w:before="300" w:after="150" w:line="240" w:lineRule="auto"/>
        <w:contextualSpacing/>
        <w:outlineLvl w:val="1"/>
        <w:rPr>
          <w:rStyle w:val="A4"/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Crop Rotation</w:t>
      </w:r>
      <w:r w:rsidR="00662C90"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.</w:t>
      </w:r>
      <w:r w:rsidR="00662C9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="00F17C6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As growers map out a rotation for the crops on their farm, special consideration should </w:t>
      </w:r>
      <w:r w:rsidR="007E475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be taken for those fields containing Palmer amaranth.  </w:t>
      </w:r>
      <w:r w:rsidR="00E14C0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Rotating through different crops </w:t>
      </w:r>
      <w:r w:rsidR="00A86DC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will </w:t>
      </w:r>
      <w:r w:rsidR="00E14C0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not only </w:t>
      </w:r>
      <w:r w:rsidR="00A86DC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allow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producers to use herbicides with additional modes of action that will control Palmer </w:t>
      </w:r>
      <w:proofErr w:type="gramStart"/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amaranth</w:t>
      </w:r>
      <w:r w:rsidR="00A86DC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</w:t>
      </w:r>
      <w:r w:rsidR="003E0A1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but</w:t>
      </w:r>
      <w:proofErr w:type="gramEnd"/>
      <w:r w:rsidR="003E0A1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will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also help slow further resistance issue</w:t>
      </w:r>
      <w:r w:rsidR="003E0A17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B248F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In </w:t>
      </w:r>
      <w:r w:rsidR="001B390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areas where diverse crops can be grown this is more of an aid than in areas where crop rotations are more limited.  </w:t>
      </w:r>
      <w:r w:rsidR="0056037D" w:rsidRPr="0068697C">
        <w:rPr>
          <w:rFonts w:eastAsia="Times New Roman" w:cstheme="minorHAnsi"/>
          <w:color w:val="000000" w:themeColor="text1"/>
          <w:sz w:val="20"/>
          <w:szCs w:val="20"/>
          <w14:ligatures w14:val="none"/>
        </w:rPr>
        <w:t>Small Grains</w:t>
      </w:r>
      <w:r w:rsidR="00F57078" w:rsidRPr="0068697C">
        <w:rPr>
          <w:rFonts w:eastAsia="Times New Roman" w:cstheme="minorHAnsi"/>
          <w:color w:val="000000" w:themeColor="text1"/>
          <w:sz w:val="20"/>
          <w:szCs w:val="20"/>
          <w14:ligatures w14:val="none"/>
        </w:rPr>
        <w:t>, alfalfa, or corn are all good options for helping control Palmer amaranth</w:t>
      </w:r>
      <w:r w:rsidR="0056037D" w:rsidRPr="0068697C">
        <w:rPr>
          <w:rFonts w:eastAsia="Times New Roman" w:cstheme="minorHAnsi"/>
          <w:color w:val="000000" w:themeColor="text1"/>
          <w:sz w:val="20"/>
          <w:szCs w:val="20"/>
          <w14:ligatures w14:val="none"/>
        </w:rPr>
        <w:t xml:space="preserve">. 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>Fall-planted grains</w:t>
      </w:r>
      <w:r w:rsidR="00F57078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and alfalfa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are 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already established before Palmer amaranth 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>emerges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in late spring or early summer. </w:t>
      </w:r>
      <w:r w:rsidR="002F49E2" w:rsidRPr="0068697C">
        <w:rPr>
          <w:rStyle w:val="A4"/>
          <w:rFonts w:cstheme="minorHAnsi"/>
          <w:color w:val="000000" w:themeColor="text1"/>
          <w:sz w:val="20"/>
          <w:szCs w:val="20"/>
        </w:rPr>
        <w:t>Small grains, alfalfa, and corn all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offer numerous herbicide options for managing these weeds. </w:t>
      </w:r>
      <w:r w:rsidR="00F57078" w:rsidRPr="0068697C">
        <w:rPr>
          <w:rStyle w:val="A4"/>
          <w:rFonts w:cstheme="minorHAnsi"/>
          <w:color w:val="000000" w:themeColor="text1"/>
          <w:sz w:val="20"/>
          <w:szCs w:val="20"/>
        </w:rPr>
        <w:t>Multiple alfalfa harvests during the summer also reduce/prevent seed production from these pigweeds.</w:t>
      </w:r>
      <w:r w:rsidR="00F57078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Note, </w:t>
      </w:r>
      <w:r w:rsidR="00023420" w:rsidRPr="0068697C">
        <w:rPr>
          <w:rStyle w:val="A4"/>
          <w:rFonts w:cstheme="minorHAnsi"/>
          <w:color w:val="000000" w:themeColor="text1"/>
          <w:sz w:val="20"/>
          <w:szCs w:val="20"/>
        </w:rPr>
        <w:t>Palmer amaranth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can still produce seed after grain harvest even if they emerge late</w:t>
      </w:r>
      <w:r w:rsidR="00023420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and</w:t>
      </w:r>
      <w:r w:rsidR="00E54B29" w:rsidRPr="0068697C">
        <w:rPr>
          <w:rStyle w:val="A4"/>
          <w:rFonts w:cstheme="minorHAnsi"/>
          <w:color w:val="000000" w:themeColor="text1"/>
          <w:sz w:val="20"/>
          <w:szCs w:val="20"/>
        </w:rPr>
        <w:t xml:space="preserve"> must be controlled after grain harvest to prevent viable seed set.</w:t>
      </w:r>
      <w:r w:rsidR="00023420" w:rsidRPr="0068697C">
        <w:rPr>
          <w:rStyle w:val="A4"/>
          <w:rFonts w:eastAsia="Times New Roman" w:cstheme="minorHAnsi"/>
          <w:color w:val="000000" w:themeColor="text1"/>
          <w:sz w:val="20"/>
          <w:szCs w:val="20"/>
          <w14:ligatures w14:val="none"/>
        </w:rPr>
        <w:t xml:space="preserve"> </w:t>
      </w:r>
      <w:r w:rsidR="007D603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In no-till systems, cover crops that are established early and provide rapid growth and a heavy canopy are recommended to slow down the establishment of Palmer amaranth.</w:t>
      </w:r>
    </w:p>
    <w:p w14:paraId="6E0C2DE1" w14:textId="77777777" w:rsidR="00685EF3" w:rsidRPr="0068697C" w:rsidRDefault="00685EF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05E58605" w14:textId="03B26653" w:rsidR="00D0553C" w:rsidRPr="0068697C" w:rsidRDefault="002F49E2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Tillage</w:t>
      </w:r>
      <w:r w:rsidR="00A02318"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 and Cultivation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Deep tillage (</w:t>
      </w:r>
      <w:r w:rsidR="0041338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ex. 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moldboard plow) will bury the small Palmer amaranth seed below its preferred emergence depth</w:t>
      </w:r>
      <w:r w:rsidR="00FB533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will reduce the number of seeds that can emerge from the top 1 inch of soil. In a heavily infested field, this practice can reduce the Palmer amaranth population up to 50 percent. </w:t>
      </w:r>
      <w:r w:rsidR="0091007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Because seeds may remain viable for 3-5 years, deep tillage is not recommended each year as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buried seed </w:t>
      </w:r>
      <w:r w:rsidR="0091007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can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redeposit in the top layer of soil</w:t>
      </w:r>
      <w:r w:rsidR="004D129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 </w:t>
      </w:r>
      <w:r w:rsidR="0036087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Cultivation </w:t>
      </w:r>
      <w:r w:rsidR="00A64C2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several times throughout the early life of the crop (until canopy closure) will aid in </w:t>
      </w:r>
      <w:r w:rsidR="00B85A0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eliminating seedling Palmer amaranth allowing time for the crop to become established</w:t>
      </w:r>
      <w:r w:rsidR="0085580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 </w:t>
      </w:r>
      <w:r w:rsidR="006A258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Disking can be effective as well as </w:t>
      </w:r>
      <w:r w:rsidR="00751BF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turning the soil can </w:t>
      </w:r>
      <w:r w:rsidR="0001502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modify burial depth, mortality, predation, and dormancy of the seedbank. </w:t>
      </w:r>
      <w:r w:rsidR="00290C7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Burying seed 2 inches or deeper will discourage germination.</w:t>
      </w:r>
      <w:r w:rsidR="0001502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8E6BC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Typically</w:t>
      </w:r>
      <w:r w:rsidR="00290C7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</w:t>
      </w:r>
      <w:r w:rsidR="008E6BC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290C7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in </w:t>
      </w:r>
      <w:r w:rsidR="008E6BC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conservation agriculture</w:t>
      </w:r>
      <w:r w:rsidR="00290C7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Palmer amaranth</w:t>
      </w:r>
      <w:r w:rsidR="008E6BC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012DA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has a higher germination rate as seeds reside under more favorable conditions for germination</w:t>
      </w:r>
      <w:r w:rsidR="00863F7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as they are not turned under the soil and buried.  </w:t>
      </w:r>
      <w:r w:rsidR="004D129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L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ong-term no-till producers must weigh the weed control benefits of tillage</w:t>
      </w:r>
      <w:r w:rsidR="0085580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or cultivation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against the economic and soil-structure benefits of their no-till system.</w:t>
      </w:r>
      <w:r w:rsidR="00C140D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</w:t>
      </w:r>
    </w:p>
    <w:p w14:paraId="18466BF4" w14:textId="7C6FCD49" w:rsidR="006A44B2" w:rsidRPr="0068697C" w:rsidRDefault="006C5B5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Mowing. Palmer amaranth plants are not usually killed by cutting or mowing.  </w:t>
      </w:r>
      <w:r w:rsidR="00AC047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For example, plants cut down during grain harvest can regrow and set seed close to the ground in record time.  </w:t>
      </w:r>
      <w:r w:rsidR="003915C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It is recommended that m</w:t>
      </w:r>
      <w:r w:rsidR="006A44B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owing be done in conjunction with other methods of control like herbicide application, prescribed fire or propane weed torching to be effective.</w:t>
      </w:r>
    </w:p>
    <w:p w14:paraId="6069B2C0" w14:textId="77777777" w:rsidR="00685EF3" w:rsidRPr="0068697C" w:rsidRDefault="00685EF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682B69DB" w14:textId="644905A0" w:rsidR="00666E71" w:rsidRPr="0068697C" w:rsidRDefault="00FF1456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Hand Weed</w:t>
      </w:r>
      <w:r w:rsidR="00666E71"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ing</w:t>
      </w:r>
      <w:r w:rsidR="0034285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A5383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In some areas in the US weeding crews have been hired to remove Palmer amaranth due to </w:t>
      </w:r>
      <w:r w:rsidR="00C01E2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the inability to control it in other ways.  If this </w:t>
      </w:r>
      <w:r w:rsidR="00666E7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method is used,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weeds should be pulled and taken out of the field and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lastRenderedPageBreak/>
        <w:t xml:space="preserve">composted or burned. Plants that are laid on the soil in the field will reroot and continue to grow and produce viable seed. </w:t>
      </w:r>
    </w:p>
    <w:p w14:paraId="317689B1" w14:textId="77777777" w:rsidR="00685EF3" w:rsidRPr="0068697C" w:rsidRDefault="00685EF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69C2DA1D" w14:textId="51FB519B" w:rsidR="007962BF" w:rsidRPr="0068697C" w:rsidRDefault="007962BF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Chemical Control</w:t>
      </w:r>
    </w:p>
    <w:p w14:paraId="717D62DB" w14:textId="06F0E4B2" w:rsidR="00D038B7" w:rsidRPr="0068697C" w:rsidRDefault="00DF4C06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Start Clean.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="00BE796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Chemical control of Palmer amaranth </w:t>
      </w:r>
      <w:r w:rsidR="00CE51F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can be difficult in some crops like sugar beet or dry bean because of the abundant resistance to </w:t>
      </w:r>
      <w:r w:rsidR="0065374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HRAC group 9 and 2 that is so prevalent in much of the country’s popula</w:t>
      </w:r>
      <w:r w:rsidR="00195F2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tions.  Starting with a clean field</w:t>
      </w:r>
      <w:r w:rsidR="00992E1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22291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whether </w:t>
      </w:r>
      <w:r w:rsidR="00992E1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through tillage or by applying burndown herbicide applications</w:t>
      </w:r>
      <w:r w:rsidR="00195F2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can have a major impact on the success of </w:t>
      </w:r>
      <w:r w:rsidR="00EE4E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later applied chemistries</w:t>
      </w:r>
      <w:r w:rsidR="00992E1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practices</w:t>
      </w:r>
      <w:r w:rsidR="00EE4E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to control Palmer amaranth. </w:t>
      </w:r>
      <w:r w:rsidR="00992E1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Depending on the crop, </w:t>
      </w:r>
      <w:r w:rsidR="00EE4EE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b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urndown treatments </w:t>
      </w:r>
      <w:r w:rsidR="007E58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including glyphosate, </w:t>
      </w:r>
      <w:proofErr w:type="spellStart"/>
      <w:r w:rsidR="007E58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glufosinate</w:t>
      </w:r>
      <w:proofErr w:type="spellEnd"/>
      <w:r w:rsidR="007E58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2,4-D, dicamba, </w:t>
      </w:r>
      <w:proofErr w:type="spellStart"/>
      <w:r w:rsidR="007E58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gramoxone</w:t>
      </w:r>
      <w:proofErr w:type="spellEnd"/>
      <w:r w:rsidR="007E582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metribuzin</w:t>
      </w:r>
      <w:r w:rsidR="006B12A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</w:t>
      </w:r>
      <w:proofErr w:type="spellStart"/>
      <w:r w:rsidR="006B12A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saflufenacil</w:t>
      </w:r>
      <w:proofErr w:type="spellEnd"/>
      <w:r w:rsidR="006B12A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flumioxazin, or </w:t>
      </w:r>
      <w:proofErr w:type="spellStart"/>
      <w:r w:rsidR="006B12A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sulfentrazone</w:t>
      </w:r>
      <w:proofErr w:type="spellEnd"/>
      <w:r w:rsidR="005660F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ha</w:t>
      </w:r>
      <w:r w:rsidR="00CC1CD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v</w:t>
      </w:r>
      <w:r w:rsidR="005660F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 been found to be effective on Palmer amaranth.</w:t>
      </w:r>
      <w:r w:rsidR="00FF145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CC1CD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Caution should be used when </w:t>
      </w:r>
      <w:r w:rsidR="00B40F8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using a chemical burndown.  Read and follow label </w:t>
      </w:r>
      <w:r w:rsidR="000C09FB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instructions</w:t>
      </w:r>
      <w:r w:rsidR="00B40F8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particularly those pertaining to plant back restrictions for </w:t>
      </w:r>
      <w:r w:rsidR="0022291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the target crop.</w:t>
      </w:r>
    </w:p>
    <w:p w14:paraId="5DEE293E" w14:textId="77777777" w:rsidR="00685EF3" w:rsidRPr="0068697C" w:rsidRDefault="00685EF3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</w:p>
    <w:p w14:paraId="0CFBF801" w14:textId="2B8D11BC" w:rsidR="00590323" w:rsidRPr="0068697C" w:rsidRDefault="00FF1456" w:rsidP="00685EF3">
      <w:pPr>
        <w:shd w:val="clear" w:color="auto" w:fill="FFFFFF"/>
        <w:spacing w:before="300" w:after="150" w:line="240" w:lineRule="auto"/>
        <w:contextualSpacing/>
        <w:outlineLvl w:val="1"/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</w:pPr>
      <w:r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Residual Herbicides</w:t>
      </w:r>
      <w:r w:rsidR="000835AD" w:rsidRPr="0068697C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14:ligatures w14:val="none"/>
        </w:rPr>
        <w:t>.</w:t>
      </w:r>
      <w:r w:rsidR="000835A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B221C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Palmer amaranth is the most susceptible at emergence and the cotyledon stage. </w:t>
      </w:r>
      <w:r w:rsidR="00475B2A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To maximize control</w:t>
      </w:r>
      <w:r w:rsidR="006B24E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, Palmer amaranth plants</w:t>
      </w:r>
      <w:r w:rsidR="000A00E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should be controlled prior to being 4 inches in height. </w:t>
      </w:r>
      <w:r w:rsidR="00B221C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D225D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A proactive approach </w:t>
      </w:r>
      <w:r w:rsidR="002F05A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is key to keeping Palmer amaranth at bay. </w:t>
      </w:r>
      <w:r w:rsidR="00A445E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D225D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Residual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herbicides should be the foundation of all Palmer amaranth herbicide control programs</w:t>
      </w:r>
      <w:r w:rsidR="003469A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as they target plants upon emergence or before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F6745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Many crops</w:t>
      </w:r>
      <w:r w:rsidR="00DD1850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such as sugar beets</w:t>
      </w:r>
      <w:r w:rsidR="00F6745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are limited on </w:t>
      </w:r>
      <w:r w:rsidR="00924D4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the selection of safe chemistries that have activity on Palmer amaranth. 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Using residual herbicides to manage Palmer will reduce the selection pressure of the few postemergence herbicide options</w:t>
      </w:r>
      <w:r w:rsidR="00191BE9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available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. Apply residual herbicides as close to planting as </w:t>
      </w:r>
      <w:r w:rsidR="00924D4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the label allows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B1362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or in crops with a PRE label, apply prior to planting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to maximize product activity in the crop. </w:t>
      </w:r>
      <w:r w:rsidR="00C95D0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 sugar beets, </w:t>
      </w:r>
      <w:r w:rsidR="00FB794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HRAC Group 15 </w:t>
      </w:r>
      <w:r w:rsidR="00C95D06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roducts that contain, S-metolachlor, </w:t>
      </w:r>
      <w:proofErr w:type="spellStart"/>
      <w:r w:rsidR="001443D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acetachlor</w:t>
      </w:r>
      <w:proofErr w:type="spellEnd"/>
      <w:r w:rsidR="001443D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and dimethenamid-P</w:t>
      </w:r>
      <w:r w:rsidR="0065442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will provide suppression of Palmer amaranth</w:t>
      </w:r>
      <w:r w:rsidR="001443D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when applied </w:t>
      </w:r>
      <w:r w:rsidR="002179A5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in sequence </w:t>
      </w:r>
      <w:r w:rsidR="009B2FF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as part of a season-long herbicide plan</w:t>
      </w:r>
      <w:r w:rsidR="001443DF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BB36A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In other crops</w:t>
      </w:r>
      <w:r w:rsidR="00AB67B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where possible</w:t>
      </w:r>
      <w:r w:rsidR="00BB36A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, the use of </w:t>
      </w:r>
      <w:proofErr w:type="spellStart"/>
      <w:r w:rsidR="00BB36A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pyroxasulfone</w:t>
      </w:r>
      <w:proofErr w:type="spellEnd"/>
      <w:r w:rsidR="00654424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(HRAC Group 15), flumioxazin</w:t>
      </w:r>
      <w:r w:rsidR="00F247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and </w:t>
      </w:r>
      <w:proofErr w:type="spellStart"/>
      <w:r w:rsidR="00F247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sulfentrazone</w:t>
      </w:r>
      <w:proofErr w:type="spellEnd"/>
      <w:r w:rsidR="00F247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(HRAC Group 14) are</w:t>
      </w:r>
      <w:r w:rsidR="00BB36A3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6379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effective</w:t>
      </w:r>
      <w:r w:rsidR="00F247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.</w:t>
      </w:r>
      <w:r w:rsidR="006379DD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F247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Product labels may restrict tank mixes; always refer to product</w:t>
      </w:r>
      <w:r w:rsidR="00A42168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labels before tank mixing </w:t>
      </w:r>
      <w:r w:rsidR="00F247BE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or applying </w:t>
      </w:r>
      <w:r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products. </w:t>
      </w:r>
      <w:r w:rsidR="00A67D7C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Finally, avoid applying </w:t>
      </w:r>
      <w:r w:rsidR="007725A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the same chemical or chemicals with the same mode of action more than twice during the same season to </w:t>
      </w:r>
      <w:r w:rsidR="000A0042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>combat the development of resistance.</w:t>
      </w:r>
      <w:r w:rsidR="007725A1" w:rsidRPr="0068697C">
        <w:rPr>
          <w:rFonts w:eastAsia="Times New Roman" w:cstheme="minorHAnsi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117D149F" w14:textId="77777777" w:rsidR="005420D5" w:rsidRPr="0068697C" w:rsidRDefault="005420D5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</w:p>
    <w:p w14:paraId="64579E12" w14:textId="77777777" w:rsidR="005420D5" w:rsidRPr="0068697C" w:rsidRDefault="005420D5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</w:p>
    <w:p w14:paraId="0784BE41" w14:textId="1057F587" w:rsidR="005420D5" w:rsidRPr="0068697C" w:rsidRDefault="005420D5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Sources</w:t>
      </w:r>
    </w:p>
    <w:p w14:paraId="1D990D2E" w14:textId="27844C56" w:rsidR="005420D5" w:rsidRPr="0068697C" w:rsidRDefault="005420D5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Minnesota Department of Agriculture…https://www.mda.state.mn.us/plants/pestmanagement/weedcontrol/noxiouslist/palmeramaranth</w:t>
      </w:r>
    </w:p>
    <w:p w14:paraId="52EE609E" w14:textId="77777777" w:rsidR="00E35D72" w:rsidRPr="0068697C" w:rsidRDefault="00E35D72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USDA</w:t>
      </w:r>
    </w:p>
    <w:p w14:paraId="79D1170B" w14:textId="504DC794" w:rsidR="00E35D72" w:rsidRPr="0068697C" w:rsidRDefault="00E35D72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chrome-extension://efaidnbmnnnibpcajpcglclefindmkaj/https://www.fsa.usda.gov/Assets/USDA-FSA-Public/usdafiles/FactSheets/archived-fact-sheets/palmer_amaranth_nrcs_national_factsheet.pdf</w:t>
      </w:r>
    </w:p>
    <w:p w14:paraId="31A72BCC" w14:textId="77777777" w:rsidR="000B7585" w:rsidRPr="0068697C" w:rsidRDefault="00FF1456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Bensch, C.N., M.J. Horak, and D. Peterson. 2003. Inference of redroot pigweed (</w:t>
      </w:r>
      <w:r w:rsidRPr="0068697C">
        <w:rPr>
          <w:rFonts w:cstheme="minorHAnsi"/>
          <w:i/>
          <w:iCs/>
          <w:color w:val="000000" w:themeColor="text1"/>
          <w:sz w:val="20"/>
          <w:szCs w:val="20"/>
        </w:rPr>
        <w:t>Amaranthus retroflexus</w:t>
      </w:r>
      <w:r w:rsidRPr="0068697C">
        <w:rPr>
          <w:rFonts w:cstheme="minorHAnsi"/>
          <w:color w:val="000000" w:themeColor="text1"/>
          <w:sz w:val="20"/>
          <w:szCs w:val="20"/>
        </w:rPr>
        <w:t>), Palmer amaranth (</w:t>
      </w:r>
      <w:r w:rsidRPr="0068697C">
        <w:rPr>
          <w:rFonts w:cstheme="minorHAnsi"/>
          <w:i/>
          <w:iCs/>
          <w:color w:val="000000" w:themeColor="text1"/>
          <w:sz w:val="20"/>
          <w:szCs w:val="20"/>
        </w:rPr>
        <w:t>A. palmeri</w:t>
      </w:r>
      <w:r w:rsidRPr="0068697C">
        <w:rPr>
          <w:rFonts w:cstheme="minorHAnsi"/>
          <w:color w:val="000000" w:themeColor="text1"/>
          <w:sz w:val="20"/>
          <w:szCs w:val="20"/>
        </w:rPr>
        <w:t xml:space="preserve">), and common waterhemp (A. rudis) in soybean.  Weed Sci. 51:37-43. </w:t>
      </w:r>
    </w:p>
    <w:p w14:paraId="3F875027" w14:textId="4A8A2B2D" w:rsidR="00FF1456" w:rsidRPr="0068697C" w:rsidRDefault="00FF1456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proofErr w:type="spellStart"/>
      <w:r w:rsidRPr="0068697C">
        <w:rPr>
          <w:rFonts w:cstheme="minorHAnsi"/>
          <w:color w:val="000000" w:themeColor="text1"/>
          <w:sz w:val="20"/>
          <w:szCs w:val="20"/>
        </w:rPr>
        <w:t>Massinga</w:t>
      </w:r>
      <w:proofErr w:type="spellEnd"/>
      <w:r w:rsidRPr="0068697C">
        <w:rPr>
          <w:rFonts w:cstheme="minorHAnsi"/>
          <w:color w:val="000000" w:themeColor="text1"/>
          <w:sz w:val="20"/>
          <w:szCs w:val="20"/>
        </w:rPr>
        <w:t>, R.A., R.S. Currie, M.J. Horak, and J. Boyer. 2001. Interference of Palmer amaranth in corn.  Weed Sci. 49:202-208</w:t>
      </w:r>
    </w:p>
    <w:p w14:paraId="5E1D4B10" w14:textId="638D20A1" w:rsidR="00FF1456" w:rsidRPr="0068697C" w:rsidRDefault="00FF1456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Purdue Extension</w:t>
      </w:r>
    </w:p>
    <w:p w14:paraId="329EB152" w14:textId="3A6CF1E1" w:rsidR="00FF1456" w:rsidRPr="0068697C" w:rsidRDefault="00FF1456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chrome-extension://efaidnbmnnnibpcajpcglclefindmkaj/https://www.extension.purdue.edu/extmedia/ws/ws-51-w.pdf</w:t>
      </w:r>
    </w:p>
    <w:p w14:paraId="1A437948" w14:textId="5497341F" w:rsidR="00681F0E" w:rsidRPr="0068697C" w:rsidRDefault="00681F0E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>Iowa State University</w:t>
      </w:r>
    </w:p>
    <w:p w14:paraId="62DD1D0B" w14:textId="444C3BCF" w:rsidR="00681F0E" w:rsidRPr="0068697C" w:rsidRDefault="007D0490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hyperlink r:id="rId5" w:history="1">
        <w:r w:rsidRPr="0068697C">
          <w:rPr>
            <w:rStyle w:val="Hyperlink"/>
            <w:rFonts w:cstheme="minorHAnsi"/>
            <w:color w:val="000000" w:themeColor="text1"/>
            <w:sz w:val="20"/>
            <w:szCs w:val="20"/>
          </w:rPr>
          <w:t>https://www.extension.iastate.edu/news/stopping-spread-palmer-amaranth-aggressive-competitive-weed</w:t>
        </w:r>
      </w:hyperlink>
    </w:p>
    <w:p w14:paraId="57210C63" w14:textId="5E066FF7" w:rsidR="007D0490" w:rsidRPr="0068697C" w:rsidRDefault="0018447C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 w:themeColor="text1"/>
          <w:sz w:val="20"/>
          <w:szCs w:val="20"/>
        </w:rPr>
        <w:t xml:space="preserve">Chahal, </w:t>
      </w:r>
      <w:proofErr w:type="spellStart"/>
      <w:r w:rsidRPr="0068697C">
        <w:rPr>
          <w:rFonts w:cstheme="minorHAnsi"/>
          <w:color w:val="000000" w:themeColor="text1"/>
          <w:sz w:val="20"/>
          <w:szCs w:val="20"/>
        </w:rPr>
        <w:t>Pariminder</w:t>
      </w:r>
      <w:proofErr w:type="spellEnd"/>
      <w:r w:rsidRPr="0068697C">
        <w:rPr>
          <w:rFonts w:cstheme="minorHAnsi"/>
          <w:color w:val="000000" w:themeColor="text1"/>
          <w:sz w:val="20"/>
          <w:szCs w:val="20"/>
        </w:rPr>
        <w:t xml:space="preserve"> S, J.S. Aulakh, M. </w:t>
      </w:r>
      <w:proofErr w:type="spellStart"/>
      <w:r w:rsidRPr="0068697C">
        <w:rPr>
          <w:rFonts w:cstheme="minorHAnsi"/>
          <w:color w:val="000000" w:themeColor="text1"/>
          <w:sz w:val="20"/>
          <w:szCs w:val="20"/>
        </w:rPr>
        <w:t>Jugulam</w:t>
      </w:r>
      <w:proofErr w:type="spellEnd"/>
      <w:r w:rsidRPr="0068697C">
        <w:rPr>
          <w:rFonts w:cstheme="minorHAnsi"/>
          <w:color w:val="000000" w:themeColor="text1"/>
          <w:sz w:val="20"/>
          <w:szCs w:val="20"/>
        </w:rPr>
        <w:t xml:space="preserve"> and A.J.</w:t>
      </w:r>
      <w:r w:rsidR="00B83BC4" w:rsidRPr="0068697C">
        <w:rPr>
          <w:rFonts w:cstheme="minorHAnsi"/>
          <w:color w:val="000000" w:themeColor="text1"/>
          <w:sz w:val="20"/>
          <w:szCs w:val="20"/>
        </w:rPr>
        <w:t xml:space="preserve"> Jhala. 2015. </w:t>
      </w:r>
      <w:r w:rsidR="006A0E2E" w:rsidRPr="0068697C">
        <w:rPr>
          <w:rFonts w:cstheme="minorHAnsi"/>
          <w:color w:val="000000" w:themeColor="text1"/>
          <w:sz w:val="20"/>
          <w:szCs w:val="20"/>
        </w:rPr>
        <w:t>Herbicide-Resistnat Palmer amaranth (</w:t>
      </w:r>
      <w:r w:rsidR="003C7518" w:rsidRPr="0068697C">
        <w:rPr>
          <w:rFonts w:cstheme="minorHAnsi"/>
          <w:i/>
          <w:iCs/>
          <w:color w:val="000000" w:themeColor="text1"/>
          <w:sz w:val="20"/>
          <w:szCs w:val="20"/>
        </w:rPr>
        <w:t>A</w:t>
      </w:r>
      <w:r w:rsidR="006A0E2E" w:rsidRPr="0068697C">
        <w:rPr>
          <w:rFonts w:cstheme="minorHAnsi"/>
          <w:i/>
          <w:iCs/>
          <w:color w:val="000000" w:themeColor="text1"/>
          <w:sz w:val="20"/>
          <w:szCs w:val="20"/>
        </w:rPr>
        <w:t xml:space="preserve">maranthus </w:t>
      </w:r>
      <w:proofErr w:type="spellStart"/>
      <w:r w:rsidR="006A0E2E" w:rsidRPr="0068697C">
        <w:rPr>
          <w:rFonts w:cstheme="minorHAnsi"/>
          <w:i/>
          <w:iCs/>
          <w:color w:val="000000" w:themeColor="text1"/>
          <w:sz w:val="20"/>
          <w:szCs w:val="20"/>
        </w:rPr>
        <w:t>palmeri</w:t>
      </w:r>
      <w:proofErr w:type="spellEnd"/>
      <w:r w:rsidR="006A0E2E" w:rsidRPr="0068697C">
        <w:rPr>
          <w:rFonts w:cstheme="minorHAnsi"/>
          <w:color w:val="000000" w:themeColor="text1"/>
          <w:sz w:val="20"/>
          <w:szCs w:val="20"/>
        </w:rPr>
        <w:t xml:space="preserve"> S. Wats.) in the United States - mechanisms of Resistance, Impact, and Management</w:t>
      </w:r>
      <w:r w:rsidR="00113BCA" w:rsidRPr="0068697C">
        <w:rPr>
          <w:rFonts w:cstheme="minorHAnsi"/>
          <w:color w:val="000000" w:themeColor="text1"/>
          <w:sz w:val="20"/>
          <w:szCs w:val="20"/>
        </w:rPr>
        <w:t xml:space="preserve">. </w:t>
      </w:r>
      <w:r w:rsidR="000B7585" w:rsidRPr="0068697C">
        <w:rPr>
          <w:rFonts w:cstheme="minorHAnsi"/>
          <w:color w:val="000000" w:themeColor="text1"/>
          <w:sz w:val="20"/>
          <w:szCs w:val="20"/>
        </w:rPr>
        <w:t>Intech. Chapter 1.</w:t>
      </w:r>
    </w:p>
    <w:p w14:paraId="06C90E6D" w14:textId="4BAE5E59" w:rsidR="00CD785F" w:rsidRPr="0068697C" w:rsidRDefault="009E2551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  <w:shd w:val="clear" w:color="auto" w:fill="FEFDFA"/>
        </w:rPr>
      </w:pPr>
      <w:r w:rsidRPr="0068697C">
        <w:rPr>
          <w:rFonts w:cstheme="minorHAnsi"/>
          <w:color w:val="000000" w:themeColor="text1"/>
          <w:sz w:val="20"/>
          <w:szCs w:val="20"/>
          <w:shd w:val="clear" w:color="auto" w:fill="FEFDFA"/>
        </w:rPr>
        <w:t>Burke I, Schroeder M, Thomas WE, Wilcut JW (2007) Palmer Amaranth Interference and Seed Production in Peanut. Weed Technology 21:367–371</w:t>
      </w:r>
    </w:p>
    <w:p w14:paraId="4BBBA496" w14:textId="309E4833" w:rsidR="003979F4" w:rsidRPr="0068697C" w:rsidRDefault="003979F4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  <w:shd w:val="clear" w:color="auto" w:fill="FEFDFA"/>
        </w:rPr>
      </w:pPr>
      <w:r w:rsidRPr="0068697C">
        <w:rPr>
          <w:rFonts w:cstheme="minorHAnsi"/>
          <w:color w:val="000000" w:themeColor="text1"/>
          <w:sz w:val="20"/>
          <w:szCs w:val="20"/>
          <w:shd w:val="clear" w:color="auto" w:fill="FEFDFA"/>
        </w:rPr>
        <w:t xml:space="preserve">Teo, Joshua Miranda, A Jhala, J </w:t>
      </w:r>
      <w:proofErr w:type="spellStart"/>
      <w:r w:rsidRPr="0068697C">
        <w:rPr>
          <w:rFonts w:cstheme="minorHAnsi"/>
          <w:color w:val="000000" w:themeColor="text1"/>
          <w:sz w:val="20"/>
          <w:szCs w:val="20"/>
          <w:shd w:val="clear" w:color="auto" w:fill="FEFDFA"/>
        </w:rPr>
        <w:t>Bdradshaw</w:t>
      </w:r>
      <w:proofErr w:type="spellEnd"/>
      <w:r w:rsidRPr="0068697C">
        <w:rPr>
          <w:rFonts w:cstheme="minorHAnsi"/>
          <w:color w:val="000000" w:themeColor="text1"/>
          <w:sz w:val="20"/>
          <w:szCs w:val="20"/>
          <w:shd w:val="clear" w:color="auto" w:fill="FEFDFA"/>
        </w:rPr>
        <w:t xml:space="preserve">, and N Lawrence. 2022. Impact and Seed Production of Palmer amaranth in dry beans. </w:t>
      </w:r>
      <w:r w:rsidR="003A602B" w:rsidRPr="0068697C">
        <w:rPr>
          <w:rFonts w:cstheme="minorHAnsi"/>
          <w:color w:val="000000" w:themeColor="text1"/>
          <w:sz w:val="20"/>
          <w:szCs w:val="20"/>
          <w:shd w:val="clear" w:color="auto" w:fill="FEFDFA"/>
        </w:rPr>
        <w:t xml:space="preserve">University of Nebraska Institute of Agriculture and Natural Resources. </w:t>
      </w:r>
      <w:proofErr w:type="spellStart"/>
      <w:r w:rsidR="003A602B" w:rsidRPr="0068697C">
        <w:rPr>
          <w:rFonts w:cstheme="minorHAnsi"/>
          <w:color w:val="000000" w:themeColor="text1"/>
          <w:sz w:val="20"/>
          <w:szCs w:val="20"/>
          <w:shd w:val="clear" w:color="auto" w:fill="FEFDFA"/>
        </w:rPr>
        <w:t>Cropwatch</w:t>
      </w:r>
      <w:proofErr w:type="spellEnd"/>
      <w:r w:rsidR="003A602B" w:rsidRPr="0068697C">
        <w:rPr>
          <w:rFonts w:cstheme="minorHAnsi"/>
          <w:color w:val="000000" w:themeColor="text1"/>
          <w:sz w:val="20"/>
          <w:szCs w:val="20"/>
          <w:shd w:val="clear" w:color="auto" w:fill="FEFDFA"/>
        </w:rPr>
        <w:t xml:space="preserve">. </w:t>
      </w:r>
    </w:p>
    <w:p w14:paraId="1D83DB92" w14:textId="36AAF3C4" w:rsidR="0068697C" w:rsidRPr="0068697C" w:rsidRDefault="0068697C" w:rsidP="00685EF3">
      <w:pPr>
        <w:spacing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68697C">
        <w:rPr>
          <w:rFonts w:cstheme="minorHAnsi"/>
          <w:color w:val="000000"/>
          <w:sz w:val="20"/>
          <w:szCs w:val="20"/>
          <w:shd w:val="clear" w:color="auto" w:fill="FFFFFF"/>
        </w:rPr>
        <w:t xml:space="preserve">Heap, I.  The International Herbicide-Resistant Weed Database.  Online.  Friday, January 5, </w:t>
      </w:r>
      <w:proofErr w:type="gramStart"/>
      <w:r w:rsidRPr="0068697C">
        <w:rPr>
          <w:rFonts w:cstheme="minorHAnsi"/>
          <w:color w:val="000000"/>
          <w:sz w:val="20"/>
          <w:szCs w:val="20"/>
          <w:shd w:val="clear" w:color="auto" w:fill="FFFFFF"/>
        </w:rPr>
        <w:t>2024 .</w:t>
      </w:r>
      <w:proofErr w:type="gramEnd"/>
    </w:p>
    <w:sectPr w:rsidR="0068697C" w:rsidRPr="0068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D36"/>
    <w:multiLevelType w:val="multilevel"/>
    <w:tmpl w:val="B06E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814F4"/>
    <w:multiLevelType w:val="multilevel"/>
    <w:tmpl w:val="34A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2475B"/>
    <w:multiLevelType w:val="multilevel"/>
    <w:tmpl w:val="6D6A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891668">
    <w:abstractNumId w:val="0"/>
  </w:num>
  <w:num w:numId="2" w16cid:durableId="468859920">
    <w:abstractNumId w:val="2"/>
  </w:num>
  <w:num w:numId="3" w16cid:durableId="122856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D5"/>
    <w:rsid w:val="00012DA2"/>
    <w:rsid w:val="0001502A"/>
    <w:rsid w:val="00023420"/>
    <w:rsid w:val="0003034E"/>
    <w:rsid w:val="000556DD"/>
    <w:rsid w:val="00071E53"/>
    <w:rsid w:val="000835AD"/>
    <w:rsid w:val="00096F8A"/>
    <w:rsid w:val="000A0042"/>
    <w:rsid w:val="000A00E0"/>
    <w:rsid w:val="000A142D"/>
    <w:rsid w:val="000B6853"/>
    <w:rsid w:val="000B7585"/>
    <w:rsid w:val="000C09FB"/>
    <w:rsid w:val="000C739A"/>
    <w:rsid w:val="000E2FF2"/>
    <w:rsid w:val="000F488D"/>
    <w:rsid w:val="001127CB"/>
    <w:rsid w:val="00113BCA"/>
    <w:rsid w:val="00126D3A"/>
    <w:rsid w:val="001443DF"/>
    <w:rsid w:val="0016722F"/>
    <w:rsid w:val="001731F2"/>
    <w:rsid w:val="0018447C"/>
    <w:rsid w:val="00191BE9"/>
    <w:rsid w:val="00192A73"/>
    <w:rsid w:val="00195F2E"/>
    <w:rsid w:val="001B390A"/>
    <w:rsid w:val="001B4CFF"/>
    <w:rsid w:val="001C5290"/>
    <w:rsid w:val="00216DD1"/>
    <w:rsid w:val="002179A5"/>
    <w:rsid w:val="00222919"/>
    <w:rsid w:val="002301F0"/>
    <w:rsid w:val="002433C0"/>
    <w:rsid w:val="002447EC"/>
    <w:rsid w:val="00256E8D"/>
    <w:rsid w:val="00286E60"/>
    <w:rsid w:val="00290C73"/>
    <w:rsid w:val="002B0CB7"/>
    <w:rsid w:val="002C54C3"/>
    <w:rsid w:val="002D3B6A"/>
    <w:rsid w:val="002F05A5"/>
    <w:rsid w:val="002F3F43"/>
    <w:rsid w:val="002F49E2"/>
    <w:rsid w:val="00300C52"/>
    <w:rsid w:val="003020D2"/>
    <w:rsid w:val="00302983"/>
    <w:rsid w:val="00320CDA"/>
    <w:rsid w:val="00324726"/>
    <w:rsid w:val="00331108"/>
    <w:rsid w:val="00340D99"/>
    <w:rsid w:val="00340FE6"/>
    <w:rsid w:val="00342852"/>
    <w:rsid w:val="003469A8"/>
    <w:rsid w:val="0036087A"/>
    <w:rsid w:val="00370633"/>
    <w:rsid w:val="00372A25"/>
    <w:rsid w:val="00374C17"/>
    <w:rsid w:val="003770C6"/>
    <w:rsid w:val="003915CD"/>
    <w:rsid w:val="00392D5C"/>
    <w:rsid w:val="003979F4"/>
    <w:rsid w:val="003A602B"/>
    <w:rsid w:val="003C7518"/>
    <w:rsid w:val="003E0A17"/>
    <w:rsid w:val="00410D2D"/>
    <w:rsid w:val="00413383"/>
    <w:rsid w:val="00413892"/>
    <w:rsid w:val="00413B9B"/>
    <w:rsid w:val="004173E3"/>
    <w:rsid w:val="0044181B"/>
    <w:rsid w:val="004430F5"/>
    <w:rsid w:val="0045740D"/>
    <w:rsid w:val="004652E9"/>
    <w:rsid w:val="00466E61"/>
    <w:rsid w:val="0046794F"/>
    <w:rsid w:val="004700E0"/>
    <w:rsid w:val="00475B2A"/>
    <w:rsid w:val="00490F9A"/>
    <w:rsid w:val="00495C3A"/>
    <w:rsid w:val="004A01EE"/>
    <w:rsid w:val="004D129E"/>
    <w:rsid w:val="0052546D"/>
    <w:rsid w:val="005420D5"/>
    <w:rsid w:val="00552462"/>
    <w:rsid w:val="0056037D"/>
    <w:rsid w:val="005660F8"/>
    <w:rsid w:val="0057115C"/>
    <w:rsid w:val="00590323"/>
    <w:rsid w:val="0059125F"/>
    <w:rsid w:val="005A23AF"/>
    <w:rsid w:val="005B126C"/>
    <w:rsid w:val="005F4E49"/>
    <w:rsid w:val="005F7CCD"/>
    <w:rsid w:val="00635D0B"/>
    <w:rsid w:val="006379DD"/>
    <w:rsid w:val="00646140"/>
    <w:rsid w:val="00650F01"/>
    <w:rsid w:val="0065374D"/>
    <w:rsid w:val="00654424"/>
    <w:rsid w:val="00662C90"/>
    <w:rsid w:val="00666E71"/>
    <w:rsid w:val="006773B7"/>
    <w:rsid w:val="00681F0E"/>
    <w:rsid w:val="00685EF3"/>
    <w:rsid w:val="006867C6"/>
    <w:rsid w:val="0068697C"/>
    <w:rsid w:val="0069398B"/>
    <w:rsid w:val="00697A96"/>
    <w:rsid w:val="006A0E2E"/>
    <w:rsid w:val="006A2589"/>
    <w:rsid w:val="006A43DD"/>
    <w:rsid w:val="006A44B2"/>
    <w:rsid w:val="006B12A2"/>
    <w:rsid w:val="006B24E1"/>
    <w:rsid w:val="006C5B53"/>
    <w:rsid w:val="006D3FDB"/>
    <w:rsid w:val="006D786F"/>
    <w:rsid w:val="006F3C42"/>
    <w:rsid w:val="007077D1"/>
    <w:rsid w:val="00711F41"/>
    <w:rsid w:val="00712394"/>
    <w:rsid w:val="007344BE"/>
    <w:rsid w:val="00734971"/>
    <w:rsid w:val="00751BF4"/>
    <w:rsid w:val="007725A1"/>
    <w:rsid w:val="00772C1A"/>
    <w:rsid w:val="0077322B"/>
    <w:rsid w:val="007833AB"/>
    <w:rsid w:val="007962BF"/>
    <w:rsid w:val="007A3168"/>
    <w:rsid w:val="007D0490"/>
    <w:rsid w:val="007D6031"/>
    <w:rsid w:val="007E475F"/>
    <w:rsid w:val="007E5822"/>
    <w:rsid w:val="007F0221"/>
    <w:rsid w:val="007F0AC2"/>
    <w:rsid w:val="00800955"/>
    <w:rsid w:val="00806A35"/>
    <w:rsid w:val="00807E2A"/>
    <w:rsid w:val="00855803"/>
    <w:rsid w:val="00857CB9"/>
    <w:rsid w:val="00863F73"/>
    <w:rsid w:val="00864DB9"/>
    <w:rsid w:val="008830A7"/>
    <w:rsid w:val="008965CC"/>
    <w:rsid w:val="008A5C72"/>
    <w:rsid w:val="008E6BC6"/>
    <w:rsid w:val="008F3F03"/>
    <w:rsid w:val="00910074"/>
    <w:rsid w:val="00924D42"/>
    <w:rsid w:val="0094325C"/>
    <w:rsid w:val="00945132"/>
    <w:rsid w:val="00950C50"/>
    <w:rsid w:val="00953A21"/>
    <w:rsid w:val="00963053"/>
    <w:rsid w:val="0098569C"/>
    <w:rsid w:val="00985F41"/>
    <w:rsid w:val="00992E1C"/>
    <w:rsid w:val="00996706"/>
    <w:rsid w:val="009B2FFC"/>
    <w:rsid w:val="009B51F1"/>
    <w:rsid w:val="009B78C1"/>
    <w:rsid w:val="009D2F47"/>
    <w:rsid w:val="009E2551"/>
    <w:rsid w:val="009E4FE7"/>
    <w:rsid w:val="009E5447"/>
    <w:rsid w:val="009F43D1"/>
    <w:rsid w:val="009F6BDC"/>
    <w:rsid w:val="00A02318"/>
    <w:rsid w:val="00A209CA"/>
    <w:rsid w:val="00A23A8D"/>
    <w:rsid w:val="00A42168"/>
    <w:rsid w:val="00A42ADA"/>
    <w:rsid w:val="00A438A7"/>
    <w:rsid w:val="00A445E6"/>
    <w:rsid w:val="00A5383D"/>
    <w:rsid w:val="00A64C20"/>
    <w:rsid w:val="00A67D7C"/>
    <w:rsid w:val="00A86DC3"/>
    <w:rsid w:val="00AA1754"/>
    <w:rsid w:val="00AA1F7C"/>
    <w:rsid w:val="00AB67B8"/>
    <w:rsid w:val="00AC0479"/>
    <w:rsid w:val="00AE3E00"/>
    <w:rsid w:val="00B03D16"/>
    <w:rsid w:val="00B132D9"/>
    <w:rsid w:val="00B13626"/>
    <w:rsid w:val="00B221CE"/>
    <w:rsid w:val="00B248F4"/>
    <w:rsid w:val="00B371DC"/>
    <w:rsid w:val="00B40F89"/>
    <w:rsid w:val="00B4642F"/>
    <w:rsid w:val="00B46476"/>
    <w:rsid w:val="00B71381"/>
    <w:rsid w:val="00B83BC4"/>
    <w:rsid w:val="00B85A04"/>
    <w:rsid w:val="00B9433F"/>
    <w:rsid w:val="00BA6DE7"/>
    <w:rsid w:val="00BB31D0"/>
    <w:rsid w:val="00BB36A3"/>
    <w:rsid w:val="00BC7854"/>
    <w:rsid w:val="00BD7022"/>
    <w:rsid w:val="00BE48C4"/>
    <w:rsid w:val="00BE7961"/>
    <w:rsid w:val="00BF0960"/>
    <w:rsid w:val="00BF2025"/>
    <w:rsid w:val="00C01E20"/>
    <w:rsid w:val="00C03F1E"/>
    <w:rsid w:val="00C123E0"/>
    <w:rsid w:val="00C140D2"/>
    <w:rsid w:val="00C144CC"/>
    <w:rsid w:val="00C32F64"/>
    <w:rsid w:val="00C34E6F"/>
    <w:rsid w:val="00C55829"/>
    <w:rsid w:val="00C674CE"/>
    <w:rsid w:val="00C95D06"/>
    <w:rsid w:val="00CC1CD0"/>
    <w:rsid w:val="00CC51C1"/>
    <w:rsid w:val="00CD5218"/>
    <w:rsid w:val="00CD785F"/>
    <w:rsid w:val="00CE018C"/>
    <w:rsid w:val="00CE51F5"/>
    <w:rsid w:val="00CF1E52"/>
    <w:rsid w:val="00D038B7"/>
    <w:rsid w:val="00D0553C"/>
    <w:rsid w:val="00D17D6A"/>
    <w:rsid w:val="00D21D2E"/>
    <w:rsid w:val="00D225D6"/>
    <w:rsid w:val="00D26828"/>
    <w:rsid w:val="00D331EC"/>
    <w:rsid w:val="00D3443D"/>
    <w:rsid w:val="00DC1306"/>
    <w:rsid w:val="00DD1850"/>
    <w:rsid w:val="00DD4E25"/>
    <w:rsid w:val="00DF1FD6"/>
    <w:rsid w:val="00DF4C06"/>
    <w:rsid w:val="00E05379"/>
    <w:rsid w:val="00E14C07"/>
    <w:rsid w:val="00E247E6"/>
    <w:rsid w:val="00E24804"/>
    <w:rsid w:val="00E35D72"/>
    <w:rsid w:val="00E459FB"/>
    <w:rsid w:val="00E47CE5"/>
    <w:rsid w:val="00E54B29"/>
    <w:rsid w:val="00E63D47"/>
    <w:rsid w:val="00E66E69"/>
    <w:rsid w:val="00EA0FE1"/>
    <w:rsid w:val="00EC5ABD"/>
    <w:rsid w:val="00ED1BF5"/>
    <w:rsid w:val="00ED4837"/>
    <w:rsid w:val="00EE4EEC"/>
    <w:rsid w:val="00EE6721"/>
    <w:rsid w:val="00EF132C"/>
    <w:rsid w:val="00F17C63"/>
    <w:rsid w:val="00F235D6"/>
    <w:rsid w:val="00F247BE"/>
    <w:rsid w:val="00F32C55"/>
    <w:rsid w:val="00F446EE"/>
    <w:rsid w:val="00F47BBB"/>
    <w:rsid w:val="00F51613"/>
    <w:rsid w:val="00F57078"/>
    <w:rsid w:val="00F60C20"/>
    <w:rsid w:val="00F6745E"/>
    <w:rsid w:val="00F726DD"/>
    <w:rsid w:val="00F73C72"/>
    <w:rsid w:val="00FA4AD1"/>
    <w:rsid w:val="00FB29D2"/>
    <w:rsid w:val="00FB5335"/>
    <w:rsid w:val="00FB6358"/>
    <w:rsid w:val="00FB7948"/>
    <w:rsid w:val="00FC0979"/>
    <w:rsid w:val="00FD1C02"/>
    <w:rsid w:val="00FF1456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DE54"/>
  <w15:docId w15:val="{7B559D1A-9A6B-4A0D-8AEE-9A4A755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0D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5420D5"/>
    <w:rPr>
      <w:i/>
      <w:iCs/>
    </w:rPr>
  </w:style>
  <w:style w:type="character" w:styleId="Hyperlink">
    <w:name w:val="Hyperlink"/>
    <w:basedOn w:val="DefaultParagraphFont"/>
    <w:uiPriority w:val="99"/>
    <w:unhideWhenUsed/>
    <w:rsid w:val="005420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20D5"/>
    <w:rPr>
      <w:b/>
      <w:bCs/>
    </w:rPr>
  </w:style>
  <w:style w:type="paragraph" w:customStyle="1" w:styleId="Default">
    <w:name w:val="Default"/>
    <w:rsid w:val="00E54B29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E54B29"/>
    <w:rPr>
      <w:rFonts w:cs="Minion Pro"/>
      <w:color w:val="221E1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D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xtension.iastate.edu/news/stopping-spread-palmer-amaranth-aggressive-competitive-we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3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WeedStudent Alder</dc:creator>
  <cp:keywords/>
  <dc:description/>
  <cp:lastModifiedBy>WeedStudent Alder</cp:lastModifiedBy>
  <cp:revision>272</cp:revision>
  <dcterms:created xsi:type="dcterms:W3CDTF">2024-01-03T22:07:00Z</dcterms:created>
  <dcterms:modified xsi:type="dcterms:W3CDTF">2024-01-05T22:33:00Z</dcterms:modified>
</cp:coreProperties>
</file>