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A9B7F" w14:textId="77777777" w:rsidR="00D1571C" w:rsidRDefault="00D1571C">
      <w:pPr>
        <w:pStyle w:val="TitleTOC"/>
        <w:rPr>
          <w:w w:val="100"/>
        </w:rPr>
      </w:pPr>
      <w:r>
        <w:rPr>
          <w:w w:val="100"/>
        </w:rPr>
        <w:t>02.02.14 – Rules for Weights and Measures</w:t>
      </w:r>
    </w:p>
    <w:p w14:paraId="290C1FF8" w14:textId="77777777" w:rsidR="00D1571C" w:rsidRDefault="00D1571C">
      <w:pPr>
        <w:pStyle w:val="Body"/>
        <w:rPr>
          <w:w w:val="100"/>
        </w:rPr>
      </w:pPr>
    </w:p>
    <w:p w14:paraId="513335D9" w14:textId="77777777" w:rsidR="00D1571C" w:rsidRDefault="00D1571C">
      <w:pPr>
        <w:pStyle w:val="SectionNameTOC"/>
        <w:rPr>
          <w:w w:val="100"/>
        </w:rPr>
      </w:pPr>
      <w:r>
        <w:rPr>
          <w:w w:val="100"/>
        </w:rPr>
        <w:t>000.</w:t>
      </w:r>
      <w:r>
        <w:rPr>
          <w:w w:val="100"/>
        </w:rPr>
        <w:tab/>
      </w:r>
      <w:r>
        <w:rPr>
          <w:w w:val="100"/>
        </w:rPr>
        <w:fldChar w:fldCharType="begin"/>
      </w:r>
      <w:r>
        <w:rPr>
          <w:w w:val="100"/>
        </w:rPr>
        <w:instrText>xe "Legal Authority"</w:instrText>
      </w:r>
      <w:r>
        <w:rPr>
          <w:w w:val="100"/>
        </w:rPr>
        <w:fldChar w:fldCharType="end"/>
      </w:r>
      <w:r>
        <w:rPr>
          <w:w w:val="100"/>
        </w:rPr>
        <w:t>Legal Authority.</w:t>
      </w:r>
    </w:p>
    <w:p w14:paraId="34A5ADFC" w14:textId="77777777" w:rsidR="00D1571C" w:rsidRDefault="00D1571C">
      <w:pPr>
        <w:pStyle w:val="Body"/>
        <w:rPr>
          <w:w w:val="100"/>
        </w:rPr>
      </w:pPr>
      <w:r>
        <w:rPr>
          <w:w w:val="100"/>
        </w:rPr>
        <w:t xml:space="preserve">Sections </w:t>
      </w:r>
      <w:hyperlink r:id="rId10" w:history="1">
        <w:r>
          <w:rPr>
            <w:rStyle w:val="Hyperlink"/>
          </w:rPr>
          <w:t>71-111</w:t>
        </w:r>
      </w:hyperlink>
      <w:r>
        <w:rPr>
          <w:w w:val="100"/>
        </w:rPr>
        <w:t xml:space="preserve">, </w:t>
      </w:r>
      <w:hyperlink r:id="rId11" w:history="1">
        <w:r>
          <w:rPr>
            <w:rStyle w:val="Hyperlink"/>
          </w:rPr>
          <w:t>71-121</w:t>
        </w:r>
      </w:hyperlink>
      <w:r>
        <w:rPr>
          <w:w w:val="100"/>
        </w:rPr>
        <w:t xml:space="preserve">, </w:t>
      </w:r>
      <w:hyperlink r:id="rId12" w:history="1">
        <w:r>
          <w:rPr>
            <w:rStyle w:val="Hyperlink"/>
          </w:rPr>
          <w:t>71-232</w:t>
        </w:r>
      </w:hyperlink>
      <w:r>
        <w:rPr>
          <w:w w:val="100"/>
        </w:rPr>
        <w:t xml:space="preserve">, </w:t>
      </w:r>
      <w:hyperlink r:id="rId13" w:history="1">
        <w:r>
          <w:rPr>
            <w:rStyle w:val="Hyperlink"/>
          </w:rPr>
          <w:t>71-233</w:t>
        </w:r>
      </w:hyperlink>
      <w:r>
        <w:rPr>
          <w:w w:val="100"/>
        </w:rPr>
        <w:t xml:space="preserve">, </w:t>
      </w:r>
      <w:hyperlink r:id="rId14" w:history="1">
        <w:r>
          <w:rPr>
            <w:rStyle w:val="Hyperlink"/>
          </w:rPr>
          <w:t>71-236</w:t>
        </w:r>
      </w:hyperlink>
      <w:r>
        <w:rPr>
          <w:w w:val="100"/>
        </w:rPr>
        <w:t xml:space="preserve">, </w:t>
      </w:r>
      <w:hyperlink r:id="rId15" w:history="1">
        <w:r>
          <w:rPr>
            <w:rStyle w:val="Hyperlink"/>
          </w:rPr>
          <w:t>71-241</w:t>
        </w:r>
      </w:hyperlink>
      <w:r>
        <w:rPr>
          <w:w w:val="100"/>
        </w:rPr>
        <w:t>, and</w:t>
      </w:r>
      <w:r>
        <w:rPr>
          <w:rStyle w:val="Hyperlink"/>
        </w:rPr>
        <w:t xml:space="preserve"> </w:t>
      </w:r>
      <w:hyperlink r:id="rId16" w:history="1">
        <w:r>
          <w:rPr>
            <w:rStyle w:val="Hyperlink"/>
          </w:rPr>
          <w:t>71-408</w:t>
        </w:r>
      </w:hyperlink>
      <w:r>
        <w:rPr>
          <w:w w:val="100"/>
        </w:rPr>
        <w:t>, Idaho Code.</w:t>
      </w:r>
      <w:r w:rsidR="00CF40EE">
        <w:rPr>
          <w:w w:val="100"/>
        </w:rPr>
        <w:tab/>
      </w:r>
      <w:r>
        <w:rPr>
          <w:w w:val="100"/>
        </w:rPr>
        <w:t>(7-1-26)</w:t>
      </w:r>
    </w:p>
    <w:p w14:paraId="53106274" w14:textId="77777777" w:rsidR="00D1571C" w:rsidRDefault="00D1571C">
      <w:pPr>
        <w:pStyle w:val="Body"/>
        <w:rPr>
          <w:w w:val="100"/>
        </w:rPr>
      </w:pPr>
    </w:p>
    <w:p w14:paraId="369DE80A" w14:textId="77777777" w:rsidR="00D1571C" w:rsidRDefault="00D1571C">
      <w:pPr>
        <w:pStyle w:val="SectionNameTOC"/>
        <w:rPr>
          <w:w w:val="100"/>
        </w:rPr>
      </w:pPr>
      <w:r>
        <w:rPr>
          <w:w w:val="100"/>
        </w:rPr>
        <w:t>001.</w:t>
      </w:r>
      <w:r>
        <w:rPr>
          <w:w w:val="100"/>
        </w:rPr>
        <w:tab/>
      </w:r>
      <w:r>
        <w:rPr>
          <w:w w:val="100"/>
        </w:rPr>
        <w:fldChar w:fldCharType="begin"/>
      </w:r>
      <w:r>
        <w:rPr>
          <w:w w:val="100"/>
        </w:rPr>
        <w:instrText>xe "Scope"</w:instrText>
      </w:r>
      <w:r>
        <w:rPr>
          <w:w w:val="100"/>
        </w:rPr>
        <w:fldChar w:fldCharType="end"/>
      </w:r>
      <w:r>
        <w:rPr>
          <w:w w:val="100"/>
        </w:rPr>
        <w:t>Scope.</w:t>
      </w:r>
    </w:p>
    <w:p w14:paraId="62DB90B0" w14:textId="77777777" w:rsidR="00D1571C" w:rsidRDefault="00D1571C">
      <w:pPr>
        <w:pStyle w:val="Body"/>
        <w:rPr>
          <w:w w:val="100"/>
        </w:rPr>
      </w:pPr>
      <w:r>
        <w:rPr>
          <w:w w:val="100"/>
        </w:rPr>
        <w:t>This chapter has the following scope: to govern the checking, testing, and examination of weighing and measuring devices, packages and labels; to govern consumer and non-consumer packaging and labeling; to govern the registration of servicemen and service agencies for commercial weighing and measuring devices; to govern the licensing of weighmasters, and to govern the licensing of commercially used weighing and measuring devices and to set maximum annual license fees for weighing and measuring devices.</w:t>
      </w:r>
      <w:r w:rsidR="00CF40EE">
        <w:rPr>
          <w:w w:val="100"/>
        </w:rPr>
        <w:tab/>
      </w:r>
      <w:r>
        <w:rPr>
          <w:w w:val="100"/>
        </w:rPr>
        <w:t>(7-1-26)</w:t>
      </w:r>
    </w:p>
    <w:p w14:paraId="1C4A8D9A" w14:textId="77777777" w:rsidR="00D1571C" w:rsidRDefault="00D1571C">
      <w:pPr>
        <w:pStyle w:val="Body"/>
        <w:rPr>
          <w:w w:val="100"/>
        </w:rPr>
      </w:pPr>
    </w:p>
    <w:p w14:paraId="7327025E" w14:textId="77777777" w:rsidR="00D1571C" w:rsidRDefault="00D1571C">
      <w:pPr>
        <w:pStyle w:val="SectionNameTOC2"/>
        <w:rPr>
          <w:w w:val="100"/>
        </w:rPr>
      </w:pPr>
      <w:r>
        <w:rPr>
          <w:w w:val="100"/>
        </w:rPr>
        <w:t>002. – 003.</w:t>
      </w:r>
      <w:r w:rsidR="00CF40EE">
        <w:rPr>
          <w:w w:val="100"/>
        </w:rPr>
        <w:tab/>
      </w:r>
      <w:r>
        <w:rPr>
          <w:w w:val="100"/>
        </w:rPr>
        <w:t>(Reserved)</w:t>
      </w:r>
    </w:p>
    <w:p w14:paraId="3A92BD8B" w14:textId="77777777" w:rsidR="00D1571C" w:rsidRDefault="00D1571C">
      <w:pPr>
        <w:pStyle w:val="Body"/>
        <w:rPr>
          <w:w w:val="100"/>
        </w:rPr>
      </w:pPr>
    </w:p>
    <w:p w14:paraId="2A7E5ED4" w14:textId="77777777" w:rsidR="00D1571C" w:rsidRDefault="00D1571C">
      <w:pPr>
        <w:pStyle w:val="SectionNameTOC"/>
        <w:rPr>
          <w:w w:val="100"/>
        </w:rPr>
      </w:pPr>
      <w:r>
        <w:rPr>
          <w:w w:val="100"/>
        </w:rPr>
        <w:t>004.</w:t>
      </w:r>
      <w:r>
        <w:rPr>
          <w:w w:val="100"/>
        </w:rPr>
        <w:tab/>
      </w:r>
      <w:r>
        <w:rPr>
          <w:w w:val="100"/>
        </w:rPr>
        <w:fldChar w:fldCharType="begin"/>
      </w:r>
      <w:r>
        <w:rPr>
          <w:w w:val="100"/>
        </w:rPr>
        <w:instrText>xe "Incorporation By Reference"</w:instrText>
      </w:r>
      <w:r>
        <w:rPr>
          <w:w w:val="100"/>
        </w:rPr>
        <w:fldChar w:fldCharType="end"/>
      </w:r>
      <w:r>
        <w:rPr>
          <w:w w:val="100"/>
        </w:rPr>
        <w:t>Incorporation By Reference.</w:t>
      </w:r>
    </w:p>
    <w:p w14:paraId="4D08C2FB" w14:textId="77777777" w:rsidR="00D1571C" w:rsidRDefault="00D1571C">
      <w:pPr>
        <w:pStyle w:val="Body"/>
        <w:rPr>
          <w:w w:val="100"/>
        </w:rPr>
      </w:pPr>
    </w:p>
    <w:p w14:paraId="642CFA76" w14:textId="77777777" w:rsidR="00D1571C" w:rsidRDefault="00D1571C">
      <w:pPr>
        <w:pStyle w:val="Body"/>
        <w:rPr>
          <w:w w:val="100"/>
        </w:rPr>
      </w:pPr>
      <w:r>
        <w:rPr>
          <w:rStyle w:val="Bold"/>
        </w:rPr>
        <w:tab/>
        <w:t>01.</w:t>
      </w:r>
      <w:r>
        <w:rPr>
          <w:rStyle w:val="Bold"/>
        </w:rPr>
        <w:tab/>
      </w:r>
      <w:r>
        <w:rPr>
          <w:rStyle w:val="Bold"/>
        </w:rPr>
        <w:fldChar w:fldCharType="begin"/>
      </w:r>
      <w:r>
        <w:rPr>
          <w:rStyle w:val="Bold"/>
        </w:rPr>
        <w:instrText>xe "Incorporation By Reference: Required Reference Materials"</w:instrText>
      </w:r>
      <w:r>
        <w:rPr>
          <w:rStyle w:val="Bold"/>
        </w:rPr>
        <w:fldChar w:fldCharType="end"/>
      </w:r>
      <w:r>
        <w:rPr>
          <w:rStyle w:val="Bold"/>
        </w:rPr>
        <w:t>Required Reference Materials</w:t>
      </w:r>
      <w:r>
        <w:rPr>
          <w:w w:val="100"/>
        </w:rPr>
        <w:t xml:space="preserve">. </w:t>
      </w:r>
      <w:hyperlink r:id="rId17" w:history="1">
        <w:r>
          <w:rPr>
            <w:rStyle w:val="Hyperlink"/>
          </w:rPr>
          <w:t xml:space="preserve">The 2025 edition of Handbook No. 130 of the National Institute </w:t>
        </w:r>
      </w:hyperlink>
      <w:r>
        <w:rPr>
          <w:rStyle w:val="Hyperlink"/>
        </w:rPr>
        <w:t>of Standards and Technology, United States Department of Commerce, “Uniform Laws and Regulations in the Areas of Legal Metrology and Fuel Quality Specifications, Tolerances, and Other Technical Requirements for Weighing and Measuring Devices,” (Published December, 2024)</w:t>
      </w:r>
      <w:r>
        <w:rPr>
          <w:w w:val="100"/>
        </w:rPr>
        <w:t xml:space="preserve"> hereby incorporated by reference, is the specifications, tolerances and other technical requirements for commercial weighing and measuring devices, unless otherwise stated in these rules.</w:t>
      </w:r>
      <w:r w:rsidR="00CF40EE">
        <w:rPr>
          <w:w w:val="100"/>
        </w:rPr>
        <w:tab/>
      </w:r>
      <w:r>
        <w:rPr>
          <w:w w:val="100"/>
        </w:rPr>
        <w:t>(7-1-26)</w:t>
      </w:r>
    </w:p>
    <w:p w14:paraId="2C91748F" w14:textId="77777777" w:rsidR="00D1571C" w:rsidRDefault="00D1571C">
      <w:pPr>
        <w:pStyle w:val="Body"/>
        <w:rPr>
          <w:w w:val="100"/>
        </w:rPr>
      </w:pPr>
    </w:p>
    <w:p w14:paraId="633156CE" w14:textId="77777777" w:rsidR="00D1571C" w:rsidRDefault="00D1571C">
      <w:pPr>
        <w:pStyle w:val="Body"/>
        <w:rPr>
          <w:w w:val="100"/>
        </w:rPr>
      </w:pPr>
      <w:r>
        <w:rPr>
          <w:rStyle w:val="Bold"/>
        </w:rPr>
        <w:tab/>
        <w:t>02.</w:t>
      </w:r>
      <w:r>
        <w:rPr>
          <w:rStyle w:val="Bold"/>
        </w:rPr>
        <w:tab/>
      </w:r>
      <w:r>
        <w:rPr>
          <w:rStyle w:val="Bold"/>
        </w:rPr>
        <w:fldChar w:fldCharType="begin"/>
      </w:r>
      <w:r>
        <w:rPr>
          <w:rStyle w:val="Bold"/>
        </w:rPr>
        <w:instrText>xe "Incorporation By Reference: Required Reference Materials for Checking Prepackaged Commodities"</w:instrText>
      </w:r>
      <w:r>
        <w:rPr>
          <w:rStyle w:val="Bold"/>
        </w:rPr>
        <w:fldChar w:fldCharType="end"/>
      </w:r>
      <w:r>
        <w:rPr>
          <w:rStyle w:val="Bold"/>
        </w:rPr>
        <w:t>Required Reference Materials for Checking Prepackaged Commodities</w:t>
      </w:r>
      <w:r>
        <w:rPr>
          <w:w w:val="100"/>
        </w:rPr>
        <w:t xml:space="preserve">. </w:t>
      </w:r>
      <w:hyperlink r:id="rId18" w:history="1">
        <w:r>
          <w:rPr>
            <w:rStyle w:val="Hyperlink"/>
          </w:rPr>
          <w:t xml:space="preserve">The 2025 edition of </w:t>
        </w:r>
      </w:hyperlink>
      <w:r>
        <w:rPr>
          <w:rStyle w:val="Hyperlink"/>
        </w:rPr>
        <w:t>Handbook No. 133 of the National Institute of Standards and Technology, United States Department of Commerce, “Checking the Net Contents of Packaged Goods,” (Published January 10, 2025)</w:t>
      </w:r>
      <w:r>
        <w:rPr>
          <w:w w:val="100"/>
        </w:rPr>
        <w:t xml:space="preserve"> hereby incorporated by reference, is the authority in checking packaged commodities, unless otherwise stated in these rules.</w:t>
      </w:r>
      <w:r w:rsidR="00CF40EE">
        <w:rPr>
          <w:w w:val="100"/>
        </w:rPr>
        <w:tab/>
      </w:r>
      <w:r>
        <w:rPr>
          <w:w w:val="100"/>
        </w:rPr>
        <w:t>(7-1-26)</w:t>
      </w:r>
    </w:p>
    <w:p w14:paraId="76DC1A43" w14:textId="77777777" w:rsidR="00D1571C" w:rsidRDefault="00D1571C">
      <w:pPr>
        <w:pStyle w:val="Body"/>
        <w:rPr>
          <w:w w:val="100"/>
        </w:rPr>
      </w:pPr>
    </w:p>
    <w:p w14:paraId="74E87F16" w14:textId="77777777" w:rsidR="00D1571C" w:rsidRDefault="00D1571C">
      <w:pPr>
        <w:pStyle w:val="SectionNameTOC"/>
        <w:rPr>
          <w:w w:val="100"/>
        </w:rPr>
      </w:pPr>
      <w:r>
        <w:rPr>
          <w:w w:val="100"/>
        </w:rPr>
        <w:t>005.</w:t>
      </w:r>
      <w:r>
        <w:rPr>
          <w:w w:val="100"/>
        </w:rPr>
        <w:tab/>
      </w:r>
      <w:r>
        <w:rPr>
          <w:w w:val="100"/>
        </w:rPr>
        <w:fldChar w:fldCharType="begin"/>
      </w:r>
      <w:r>
        <w:rPr>
          <w:w w:val="100"/>
        </w:rPr>
        <w:instrText>xe "Diesel, Biodiesel, &amp; Gasoline Standards"</w:instrText>
      </w:r>
      <w:r>
        <w:rPr>
          <w:w w:val="100"/>
        </w:rPr>
        <w:fldChar w:fldCharType="end"/>
      </w:r>
      <w:r>
        <w:rPr>
          <w:w w:val="100"/>
        </w:rPr>
        <w:t>Diesel, Biodiesel, And Gasoline Standards.</w:t>
      </w:r>
    </w:p>
    <w:p w14:paraId="16606DD9" w14:textId="77777777" w:rsidR="00D1571C" w:rsidRDefault="00D1571C">
      <w:pPr>
        <w:pStyle w:val="Body"/>
        <w:rPr>
          <w:w w:val="100"/>
        </w:rPr>
      </w:pPr>
      <w:r>
        <w:rPr>
          <w:w w:val="100"/>
        </w:rPr>
        <w:t xml:space="preserve">Per Section </w:t>
      </w:r>
      <w:hyperlink r:id="rId19" w:history="1">
        <w:r>
          <w:rPr>
            <w:rStyle w:val="Hyperlink"/>
          </w:rPr>
          <w:t>37-2506</w:t>
        </w:r>
      </w:hyperlink>
      <w:r>
        <w:rPr>
          <w:w w:val="100"/>
        </w:rPr>
        <w:t xml:space="preserve">, Idaho Code, the latest specifications adopted by the American Society for Testing and Materials is the required standard for all diesel, biodiesel, and gasoline fuels. The standards can be accessed at </w:t>
      </w:r>
      <w:hyperlink r:id="rId20" w:history="1">
        <w:r>
          <w:rPr>
            <w:rStyle w:val="Hyperlink"/>
          </w:rPr>
          <w:t>https://</w:t>
        </w:r>
      </w:hyperlink>
      <w:r>
        <w:rPr>
          <w:rStyle w:val="Hyperlink"/>
        </w:rPr>
        <w:t>www.astm.org/products-services/standards-and-publications/standards/petroleum-standards.html</w:t>
      </w:r>
      <w:r>
        <w:rPr>
          <w:w w:val="100"/>
        </w:rPr>
        <w:t>.</w:t>
      </w:r>
      <w:r w:rsidR="00CF40EE">
        <w:rPr>
          <w:w w:val="100"/>
        </w:rPr>
        <w:tab/>
      </w:r>
      <w:r>
        <w:rPr>
          <w:w w:val="100"/>
        </w:rPr>
        <w:t>(7-1-25)</w:t>
      </w:r>
    </w:p>
    <w:p w14:paraId="0C62E53E" w14:textId="77777777" w:rsidR="00D1571C" w:rsidRDefault="00D1571C">
      <w:pPr>
        <w:pStyle w:val="Body"/>
        <w:rPr>
          <w:w w:val="100"/>
        </w:rPr>
      </w:pPr>
    </w:p>
    <w:p w14:paraId="490132F8" w14:textId="77777777" w:rsidR="00D1571C" w:rsidRDefault="00D1571C">
      <w:pPr>
        <w:pStyle w:val="SectionNameTOC2"/>
        <w:rPr>
          <w:w w:val="100"/>
        </w:rPr>
      </w:pPr>
      <w:r>
        <w:rPr>
          <w:w w:val="100"/>
        </w:rPr>
        <w:t>006. -- 011.</w:t>
      </w:r>
      <w:r w:rsidR="00CF40EE">
        <w:rPr>
          <w:w w:val="100"/>
        </w:rPr>
        <w:tab/>
      </w:r>
      <w:r>
        <w:rPr>
          <w:w w:val="100"/>
        </w:rPr>
        <w:t>(Reserved)</w:t>
      </w:r>
    </w:p>
    <w:p w14:paraId="4E0D3DD1" w14:textId="77777777" w:rsidR="00D1571C" w:rsidRDefault="00D1571C">
      <w:pPr>
        <w:pStyle w:val="Body"/>
        <w:rPr>
          <w:w w:val="100"/>
        </w:rPr>
      </w:pPr>
    </w:p>
    <w:p w14:paraId="6D096014" w14:textId="77777777" w:rsidR="00D1571C" w:rsidRDefault="00D1571C">
      <w:pPr>
        <w:pStyle w:val="SectionNameTOC"/>
        <w:rPr>
          <w:w w:val="100"/>
        </w:rPr>
      </w:pPr>
      <w:r>
        <w:rPr>
          <w:w w:val="100"/>
        </w:rPr>
        <w:t>012.</w:t>
      </w:r>
      <w:r>
        <w:rPr>
          <w:w w:val="100"/>
        </w:rPr>
        <w:tab/>
      </w:r>
      <w:r>
        <w:rPr>
          <w:w w:val="100"/>
        </w:rPr>
        <w:fldChar w:fldCharType="begin"/>
      </w:r>
      <w:r>
        <w:rPr>
          <w:w w:val="100"/>
        </w:rPr>
        <w:instrText>xe "License Required For Commercially-Used Weighing Or Measuring Instrument Or Device"</w:instrText>
      </w:r>
      <w:r>
        <w:rPr>
          <w:w w:val="100"/>
        </w:rPr>
        <w:fldChar w:fldCharType="end"/>
      </w:r>
      <w:r>
        <w:rPr>
          <w:w w:val="100"/>
        </w:rPr>
        <w:t xml:space="preserve">License Required For </w:t>
      </w:r>
      <w:proofErr w:type="gramStart"/>
      <w:r>
        <w:rPr>
          <w:w w:val="100"/>
        </w:rPr>
        <w:t>Commercially-Used</w:t>
      </w:r>
      <w:proofErr w:type="gramEnd"/>
      <w:r>
        <w:rPr>
          <w:w w:val="100"/>
        </w:rPr>
        <w:t xml:space="preserve"> Weighing Or Measuring Instrument Or Device.</w:t>
      </w:r>
    </w:p>
    <w:p w14:paraId="1BB7C159" w14:textId="77777777" w:rsidR="00D1571C" w:rsidRDefault="00D1571C">
      <w:pPr>
        <w:pStyle w:val="Body"/>
        <w:rPr>
          <w:w w:val="100"/>
        </w:rPr>
      </w:pPr>
      <w:r>
        <w:rPr>
          <w:w w:val="100"/>
        </w:rPr>
        <w:t>Weighing or measuring instruments or devices used for commercial purposes in the State of Idaho must be licensed annually.</w:t>
      </w:r>
      <w:r w:rsidR="00CF40EE">
        <w:rPr>
          <w:w w:val="100"/>
        </w:rPr>
        <w:tab/>
      </w:r>
      <w:r w:rsidR="000F1BF5">
        <w:rPr>
          <w:w w:val="100"/>
        </w:rPr>
        <w:tab/>
      </w:r>
      <w:r>
        <w:rPr>
          <w:w w:val="100"/>
        </w:rPr>
        <w:t>(3-15-22)</w:t>
      </w:r>
    </w:p>
    <w:p w14:paraId="73814454" w14:textId="77777777" w:rsidR="00D1571C" w:rsidRDefault="00D1571C">
      <w:pPr>
        <w:pStyle w:val="Body"/>
        <w:rPr>
          <w:w w:val="100"/>
        </w:rPr>
      </w:pPr>
    </w:p>
    <w:p w14:paraId="412731EB" w14:textId="77777777" w:rsidR="00D1571C" w:rsidRDefault="00D1571C">
      <w:pPr>
        <w:pStyle w:val="Body"/>
        <w:rPr>
          <w:w w:val="100"/>
        </w:rPr>
      </w:pPr>
      <w:r>
        <w:rPr>
          <w:rStyle w:val="Bold"/>
        </w:rPr>
        <w:tab/>
        <w:t>01.</w:t>
      </w:r>
      <w:r>
        <w:rPr>
          <w:rStyle w:val="Bold"/>
        </w:rPr>
        <w:tab/>
      </w:r>
      <w:r>
        <w:rPr>
          <w:rStyle w:val="Bold"/>
        </w:rPr>
        <w:fldChar w:fldCharType="begin"/>
      </w:r>
      <w:r>
        <w:rPr>
          <w:rStyle w:val="Bold"/>
        </w:rPr>
        <w:instrText>xe "License Required For Commercially-Used Weighing Or Measuring Instrument Or Device: Annual License"</w:instrText>
      </w:r>
      <w:r>
        <w:rPr>
          <w:rStyle w:val="Bold"/>
        </w:rPr>
        <w:fldChar w:fldCharType="end"/>
      </w:r>
      <w:r>
        <w:rPr>
          <w:rStyle w:val="Bold"/>
        </w:rPr>
        <w:t>Annual License</w:t>
      </w:r>
      <w:r>
        <w:rPr>
          <w:w w:val="100"/>
        </w:rPr>
        <w:t xml:space="preserve">. No person may operate or use for commercial purposes within the state any weighing or measuring instrument or device specified in Section </w:t>
      </w:r>
      <w:hyperlink r:id="rId21" w:history="1">
        <w:r>
          <w:rPr>
            <w:rStyle w:val="Hyperlink"/>
          </w:rPr>
          <w:t>71-113</w:t>
        </w:r>
      </w:hyperlink>
      <w:r>
        <w:rPr>
          <w:w w:val="100"/>
        </w:rPr>
        <w:t>, Idaho Code, that is not licensed in accordance with this rule.</w:t>
      </w:r>
      <w:r w:rsidR="00CF40EE">
        <w:rPr>
          <w:w w:val="100"/>
        </w:rPr>
        <w:tab/>
      </w:r>
      <w:r>
        <w:rPr>
          <w:w w:val="100"/>
        </w:rPr>
        <w:t>(7-1-26)</w:t>
      </w:r>
    </w:p>
    <w:p w14:paraId="17B2D153" w14:textId="77777777" w:rsidR="00D1571C" w:rsidRDefault="00D1571C">
      <w:pPr>
        <w:pStyle w:val="Body"/>
        <w:rPr>
          <w:w w:val="100"/>
        </w:rPr>
      </w:pPr>
    </w:p>
    <w:p w14:paraId="42152589" w14:textId="77777777" w:rsidR="00D1571C" w:rsidRDefault="00D1571C">
      <w:pPr>
        <w:pStyle w:val="Body"/>
        <w:rPr>
          <w:w w:val="100"/>
        </w:rPr>
      </w:pPr>
      <w:r>
        <w:rPr>
          <w:rStyle w:val="Bold"/>
        </w:rPr>
        <w:tab/>
        <w:t>02.</w:t>
      </w:r>
      <w:r>
        <w:rPr>
          <w:rStyle w:val="Bold"/>
        </w:rPr>
        <w:tab/>
      </w:r>
      <w:r>
        <w:rPr>
          <w:rStyle w:val="Bold"/>
        </w:rPr>
        <w:fldChar w:fldCharType="begin"/>
      </w:r>
      <w:r>
        <w:rPr>
          <w:rStyle w:val="Bold"/>
        </w:rPr>
        <w:instrText>xe "License Required For Commercially-Used Weighing Or Measuring Instrument Or Device: Specific Device"</w:instrText>
      </w:r>
      <w:r>
        <w:rPr>
          <w:rStyle w:val="Bold"/>
        </w:rPr>
        <w:fldChar w:fldCharType="end"/>
      </w:r>
      <w:r>
        <w:rPr>
          <w:rStyle w:val="Bold"/>
        </w:rPr>
        <w:t>Specific Device</w:t>
      </w:r>
      <w:r>
        <w:rPr>
          <w:w w:val="100"/>
        </w:rPr>
        <w:t>. Any license issued applies only to the instrument or device identified by Device Code, as listed in TABLE 1-A, and rated capacity on the application for license. The license is applicable to an equivalent replacement for the original instrument or device, within the annual license period.</w:t>
      </w:r>
      <w:r w:rsidR="00CF40EE">
        <w:rPr>
          <w:w w:val="100"/>
        </w:rPr>
        <w:tab/>
      </w:r>
      <w:r>
        <w:rPr>
          <w:w w:val="100"/>
        </w:rPr>
        <w:t>(3-15-22)</w:t>
      </w:r>
    </w:p>
    <w:p w14:paraId="404DBE14" w14:textId="77777777" w:rsidR="00D1571C" w:rsidRDefault="00D1571C">
      <w:pPr>
        <w:pStyle w:val="Body"/>
        <w:rPr>
          <w:w w:val="100"/>
        </w:rPr>
      </w:pPr>
    </w:p>
    <w:p w14:paraId="0181DFC8" w14:textId="77777777" w:rsidR="00D1571C" w:rsidRDefault="00D1571C">
      <w:pPr>
        <w:pStyle w:val="SectionNameTOC"/>
        <w:rPr>
          <w:w w:val="100"/>
        </w:rPr>
      </w:pPr>
      <w:r>
        <w:rPr>
          <w:w w:val="100"/>
        </w:rPr>
        <w:t>013.</w:t>
      </w:r>
      <w:r>
        <w:rPr>
          <w:w w:val="100"/>
        </w:rPr>
        <w:tab/>
      </w:r>
      <w:r>
        <w:rPr>
          <w:w w:val="100"/>
        </w:rPr>
        <w:fldChar w:fldCharType="begin"/>
      </w:r>
      <w:r>
        <w:rPr>
          <w:w w:val="100"/>
        </w:rPr>
        <w:instrText>xe "License Application"</w:instrText>
      </w:r>
      <w:r>
        <w:rPr>
          <w:w w:val="100"/>
        </w:rPr>
        <w:fldChar w:fldCharType="end"/>
      </w:r>
      <w:r>
        <w:rPr>
          <w:w w:val="100"/>
        </w:rPr>
        <w:t>License Application.</w:t>
      </w:r>
    </w:p>
    <w:p w14:paraId="6E72BF50" w14:textId="77777777" w:rsidR="00D1571C" w:rsidRDefault="00D1571C">
      <w:pPr>
        <w:pStyle w:val="Body"/>
        <w:rPr>
          <w:w w:val="100"/>
        </w:rPr>
      </w:pPr>
      <w:r>
        <w:rPr>
          <w:w w:val="100"/>
        </w:rPr>
        <w:t xml:space="preserve">License application must be submitted on forms provided by Idaho State Department of Agriculture (ISDA) and accompanied </w:t>
      </w:r>
      <w:proofErr w:type="gramStart"/>
      <w:r>
        <w:rPr>
          <w:w w:val="100"/>
        </w:rPr>
        <w:t>with</w:t>
      </w:r>
      <w:proofErr w:type="gramEnd"/>
      <w:r>
        <w:rPr>
          <w:w w:val="100"/>
        </w:rPr>
        <w:t xml:space="preserve"> the proper fee as established in this rule. The capacity of an instrument or device will be determined by the manufacturer’s rated capacity.</w:t>
      </w:r>
      <w:r w:rsidR="00CF40EE">
        <w:rPr>
          <w:w w:val="100"/>
        </w:rPr>
        <w:tab/>
      </w:r>
      <w:r>
        <w:rPr>
          <w:w w:val="100"/>
        </w:rPr>
        <w:t>(7-1-26)</w:t>
      </w:r>
    </w:p>
    <w:p w14:paraId="43226117" w14:textId="77777777" w:rsidR="00D1571C" w:rsidRDefault="00D1571C">
      <w:pPr>
        <w:pStyle w:val="Body"/>
        <w:rPr>
          <w:w w:val="100"/>
        </w:rPr>
      </w:pPr>
    </w:p>
    <w:p w14:paraId="18F38C7E" w14:textId="77777777" w:rsidR="00D1571C" w:rsidRDefault="00D1571C">
      <w:pPr>
        <w:pStyle w:val="SectionNameTOC"/>
        <w:rPr>
          <w:w w:val="100"/>
        </w:rPr>
      </w:pPr>
      <w:r>
        <w:rPr>
          <w:w w:val="100"/>
        </w:rPr>
        <w:t>014.</w:t>
      </w:r>
      <w:r>
        <w:rPr>
          <w:w w:val="100"/>
        </w:rPr>
        <w:tab/>
      </w:r>
      <w:r>
        <w:rPr>
          <w:w w:val="100"/>
        </w:rPr>
        <w:fldChar w:fldCharType="begin"/>
      </w:r>
      <w:r>
        <w:rPr>
          <w:w w:val="100"/>
        </w:rPr>
        <w:instrText>xe "Annual License Period"</w:instrText>
      </w:r>
      <w:r>
        <w:rPr>
          <w:w w:val="100"/>
        </w:rPr>
        <w:fldChar w:fldCharType="end"/>
      </w:r>
      <w:r>
        <w:rPr>
          <w:w w:val="100"/>
        </w:rPr>
        <w:t>Annual License Period.</w:t>
      </w:r>
    </w:p>
    <w:p w14:paraId="52618F25" w14:textId="77777777" w:rsidR="00D1571C" w:rsidRDefault="00D1571C">
      <w:pPr>
        <w:pStyle w:val="Body"/>
        <w:rPr>
          <w:w w:val="100"/>
        </w:rPr>
      </w:pPr>
      <w:r>
        <w:rPr>
          <w:w w:val="100"/>
        </w:rPr>
        <w:t xml:space="preserve">Annual license applications and fees are due February 1 of each </w:t>
      </w:r>
      <w:proofErr w:type="gramStart"/>
      <w:r>
        <w:rPr>
          <w:w w:val="100"/>
        </w:rPr>
        <w:t>year</w:t>
      </w:r>
      <w:proofErr w:type="gramEnd"/>
      <w:r>
        <w:rPr>
          <w:w w:val="100"/>
        </w:rPr>
        <w:t xml:space="preserve"> and all licenses expire on January 31 of the </w:t>
      </w:r>
      <w:r>
        <w:rPr>
          <w:w w:val="100"/>
        </w:rPr>
        <w:lastRenderedPageBreak/>
        <w:t>following year.</w:t>
      </w:r>
      <w:r w:rsidR="00CF40EE">
        <w:rPr>
          <w:w w:val="100"/>
        </w:rPr>
        <w:tab/>
      </w:r>
      <w:r w:rsidR="000F1BF5">
        <w:rPr>
          <w:w w:val="100"/>
        </w:rPr>
        <w:tab/>
      </w:r>
      <w:r>
        <w:rPr>
          <w:w w:val="100"/>
        </w:rPr>
        <w:t>(3-15-22)</w:t>
      </w:r>
    </w:p>
    <w:p w14:paraId="03BD6253" w14:textId="77777777" w:rsidR="00D1571C" w:rsidRDefault="00D1571C">
      <w:pPr>
        <w:pStyle w:val="Body"/>
        <w:rPr>
          <w:w w:val="100"/>
        </w:rPr>
      </w:pPr>
    </w:p>
    <w:p w14:paraId="1371C280" w14:textId="77777777" w:rsidR="00D1571C" w:rsidRDefault="00D1571C">
      <w:pPr>
        <w:pStyle w:val="SectionNameTOC"/>
        <w:rPr>
          <w:w w:val="100"/>
        </w:rPr>
      </w:pPr>
      <w:r>
        <w:rPr>
          <w:w w:val="100"/>
        </w:rPr>
        <w:t>015.</w:t>
      </w:r>
      <w:r>
        <w:rPr>
          <w:w w:val="100"/>
        </w:rPr>
        <w:tab/>
      </w:r>
      <w:r>
        <w:rPr>
          <w:w w:val="100"/>
        </w:rPr>
        <w:fldChar w:fldCharType="begin"/>
      </w:r>
      <w:r>
        <w:rPr>
          <w:w w:val="100"/>
        </w:rPr>
        <w:instrText>xe "License Renewals"</w:instrText>
      </w:r>
      <w:r>
        <w:rPr>
          <w:w w:val="100"/>
        </w:rPr>
        <w:fldChar w:fldCharType="end"/>
      </w:r>
      <w:r>
        <w:rPr>
          <w:w w:val="100"/>
        </w:rPr>
        <w:t>License Renewals.</w:t>
      </w:r>
    </w:p>
    <w:p w14:paraId="0E3F72C2" w14:textId="77777777" w:rsidR="00D1571C" w:rsidRDefault="00D1571C">
      <w:pPr>
        <w:pStyle w:val="Body"/>
        <w:rPr>
          <w:w w:val="100"/>
        </w:rPr>
      </w:pPr>
      <w:r>
        <w:rPr>
          <w:w w:val="100"/>
        </w:rPr>
        <w:t>Any device or instrument will be considered rejected if the license for that device or instrument is not renewed thirty (30) days after expiration. A person failing to pay the annual license fee after forty-five (45) days following the expiration date, forfeits the right to use the instrument or device for commercial purposes, and the instrument or device may be taken out of service by the ISDA Bureau of Weights and Measures (Bureau) until the license fee is paid.</w:t>
      </w:r>
      <w:r w:rsidR="00CF40EE">
        <w:rPr>
          <w:w w:val="100"/>
        </w:rPr>
        <w:tab/>
      </w:r>
      <w:r w:rsidR="000F1BF5">
        <w:rPr>
          <w:w w:val="100"/>
        </w:rPr>
        <w:tab/>
      </w:r>
      <w:r w:rsidR="000F1BF5">
        <w:rPr>
          <w:w w:val="100"/>
        </w:rPr>
        <w:tab/>
      </w:r>
      <w:r>
        <w:rPr>
          <w:w w:val="100"/>
        </w:rPr>
        <w:t>(7-1-26)</w:t>
      </w:r>
    </w:p>
    <w:p w14:paraId="3322302E" w14:textId="77777777" w:rsidR="00D1571C" w:rsidRDefault="00D1571C">
      <w:pPr>
        <w:pStyle w:val="Body"/>
        <w:rPr>
          <w:w w:val="100"/>
        </w:rPr>
      </w:pPr>
    </w:p>
    <w:p w14:paraId="419F14ED" w14:textId="77777777" w:rsidR="00D1571C" w:rsidRDefault="00D1571C">
      <w:pPr>
        <w:pStyle w:val="SectionNameTOC"/>
        <w:rPr>
          <w:w w:val="100"/>
        </w:rPr>
      </w:pPr>
      <w:r>
        <w:rPr>
          <w:w w:val="100"/>
        </w:rPr>
        <w:t>016.</w:t>
      </w:r>
      <w:r>
        <w:rPr>
          <w:w w:val="100"/>
        </w:rPr>
        <w:tab/>
      </w:r>
      <w:r>
        <w:rPr>
          <w:w w:val="100"/>
        </w:rPr>
        <w:fldChar w:fldCharType="begin"/>
      </w:r>
      <w:r>
        <w:rPr>
          <w:w w:val="100"/>
        </w:rPr>
        <w:instrText>xe "Maximum &amp; Minimum License Fee Schedule For Commercially-Used Weighing &amp; Measuring Instruments &amp; Devices"</w:instrText>
      </w:r>
      <w:r>
        <w:rPr>
          <w:w w:val="100"/>
        </w:rPr>
        <w:fldChar w:fldCharType="end"/>
      </w:r>
      <w:r>
        <w:rPr>
          <w:w w:val="100"/>
        </w:rPr>
        <w:t xml:space="preserve">Maximum And Minimum License Fee Schedule For </w:t>
      </w:r>
      <w:proofErr w:type="gramStart"/>
      <w:r>
        <w:rPr>
          <w:w w:val="100"/>
        </w:rPr>
        <w:t>Commercially-Used</w:t>
      </w:r>
      <w:proofErr w:type="gramEnd"/>
      <w:r>
        <w:rPr>
          <w:w w:val="100"/>
        </w:rPr>
        <w:t xml:space="preserve"> Weighing And Measuring Instruments And Devices.</w:t>
      </w:r>
    </w:p>
    <w:p w14:paraId="0EF29521" w14:textId="77777777" w:rsidR="00D1571C" w:rsidRDefault="00D1571C">
      <w:pPr>
        <w:pStyle w:val="Body"/>
        <w:rPr>
          <w:w w:val="100"/>
        </w:rPr>
      </w:pPr>
      <w:r>
        <w:rPr>
          <w:w w:val="100"/>
        </w:rPr>
        <w:t>The annual license fee for instruments and devices is based on manufacturer’s rated capacity. The minimum annual license fee for commercially used instrument and device types is twelve dollars ($12) when licensing a single device.</w:t>
      </w:r>
    </w:p>
    <w:p w14:paraId="0B4FBBFA" w14:textId="77777777" w:rsidR="00D1571C" w:rsidRDefault="00D1571C">
      <w:pPr>
        <w:pStyle w:val="Body"/>
        <w:rPr>
          <w:w w:val="100"/>
        </w:rPr>
      </w:pPr>
    </w:p>
    <w:tbl>
      <w:tblPr>
        <w:tblW w:w="0" w:type="auto"/>
        <w:jc w:val="center"/>
        <w:tblLayout w:type="fixed"/>
        <w:tblCellMar>
          <w:top w:w="80" w:type="dxa"/>
          <w:left w:w="60" w:type="dxa"/>
          <w:bottom w:w="60" w:type="dxa"/>
          <w:right w:w="60" w:type="dxa"/>
        </w:tblCellMar>
        <w:tblLook w:val="0000" w:firstRow="0" w:lastRow="0" w:firstColumn="0" w:lastColumn="0" w:noHBand="0" w:noVBand="0"/>
      </w:tblPr>
      <w:tblGrid>
        <w:gridCol w:w="1440"/>
        <w:gridCol w:w="3740"/>
        <w:gridCol w:w="1700"/>
      </w:tblGrid>
      <w:tr w:rsidR="00D1571C" w:rsidRPr="00D1571C" w14:paraId="3444529E" w14:textId="77777777">
        <w:trPr>
          <w:trHeight w:val="400"/>
          <w:jc w:val="center"/>
        </w:trPr>
        <w:tc>
          <w:tcPr>
            <w:tcW w:w="6880" w:type="dxa"/>
            <w:gridSpan w:val="3"/>
            <w:tcBorders>
              <w:top w:val="single" w:sz="4" w:space="0" w:color="000000"/>
              <w:left w:val="single" w:sz="4" w:space="0" w:color="000000"/>
              <w:bottom w:val="single" w:sz="4" w:space="0" w:color="000000"/>
              <w:right w:val="single" w:sz="4" w:space="0" w:color="000000"/>
            </w:tcBorders>
            <w:shd w:val="clear" w:color="000000" w:fill="auto"/>
            <w:tcMar>
              <w:top w:w="120" w:type="dxa"/>
              <w:left w:w="60" w:type="dxa"/>
              <w:bottom w:w="100" w:type="dxa"/>
              <w:right w:w="60" w:type="dxa"/>
            </w:tcMar>
            <w:vAlign w:val="center"/>
          </w:tcPr>
          <w:p w14:paraId="0CEB2703" w14:textId="77777777" w:rsidR="00D1571C" w:rsidRPr="00D1571C" w:rsidRDefault="00D1571C">
            <w:pPr>
              <w:pStyle w:val="CellHeading-9pt"/>
            </w:pPr>
            <w:r w:rsidRPr="00D1571C">
              <w:rPr>
                <w:w w:val="100"/>
              </w:rPr>
              <w:t>TABLE 1-A</w:t>
            </w:r>
          </w:p>
        </w:tc>
      </w:tr>
      <w:tr w:rsidR="00D1571C" w:rsidRPr="00D1571C" w14:paraId="23A79D03" w14:textId="77777777">
        <w:trPr>
          <w:trHeight w:val="620"/>
          <w:jc w:val="center"/>
        </w:trPr>
        <w:tc>
          <w:tcPr>
            <w:tcW w:w="1440" w:type="dxa"/>
            <w:tcBorders>
              <w:top w:val="nil"/>
              <w:left w:val="single" w:sz="4" w:space="0" w:color="000000"/>
              <w:bottom w:val="single" w:sz="16" w:space="0" w:color="000000"/>
              <w:right w:val="single" w:sz="4" w:space="0" w:color="000000"/>
            </w:tcBorders>
            <w:shd w:val="clear" w:color="000000" w:fill="auto"/>
            <w:tcMar>
              <w:top w:w="120" w:type="dxa"/>
              <w:left w:w="60" w:type="dxa"/>
              <w:bottom w:w="100" w:type="dxa"/>
              <w:right w:w="60" w:type="dxa"/>
            </w:tcMar>
            <w:vAlign w:val="center"/>
          </w:tcPr>
          <w:p w14:paraId="3C22378A" w14:textId="77777777" w:rsidR="00D1571C" w:rsidRPr="00D1571C" w:rsidRDefault="00D1571C">
            <w:pPr>
              <w:pStyle w:val="CellHeading-9pt"/>
            </w:pPr>
            <w:r w:rsidRPr="00D1571C">
              <w:rPr>
                <w:w w:val="100"/>
              </w:rPr>
              <w:t>DEVICE CODE</w:t>
            </w:r>
          </w:p>
        </w:tc>
        <w:tc>
          <w:tcPr>
            <w:tcW w:w="3740" w:type="dxa"/>
            <w:tcBorders>
              <w:top w:val="nil"/>
              <w:left w:val="single" w:sz="4" w:space="0" w:color="000000"/>
              <w:bottom w:val="single" w:sz="16" w:space="0" w:color="000000"/>
              <w:right w:val="single" w:sz="4" w:space="0" w:color="000000"/>
            </w:tcBorders>
            <w:shd w:val="clear" w:color="000000" w:fill="auto"/>
            <w:tcMar>
              <w:top w:w="120" w:type="dxa"/>
              <w:left w:w="60" w:type="dxa"/>
              <w:bottom w:w="100" w:type="dxa"/>
              <w:right w:w="60" w:type="dxa"/>
            </w:tcMar>
            <w:vAlign w:val="center"/>
          </w:tcPr>
          <w:p w14:paraId="07B96F32" w14:textId="77777777" w:rsidR="00D1571C" w:rsidRPr="00D1571C" w:rsidRDefault="00D1571C">
            <w:pPr>
              <w:pStyle w:val="CellHeading-9pt"/>
            </w:pPr>
            <w:r w:rsidRPr="00D1571C">
              <w:rPr>
                <w:w w:val="100"/>
              </w:rPr>
              <w:t>KEY</w:t>
            </w:r>
          </w:p>
        </w:tc>
        <w:tc>
          <w:tcPr>
            <w:tcW w:w="1700" w:type="dxa"/>
            <w:tcBorders>
              <w:top w:val="nil"/>
              <w:left w:val="single" w:sz="4" w:space="0" w:color="000000"/>
              <w:bottom w:val="single" w:sz="16" w:space="0" w:color="000000"/>
              <w:right w:val="single" w:sz="4" w:space="0" w:color="000000"/>
            </w:tcBorders>
            <w:shd w:val="clear" w:color="000000" w:fill="auto"/>
            <w:tcMar>
              <w:top w:w="120" w:type="dxa"/>
              <w:left w:w="60" w:type="dxa"/>
              <w:bottom w:w="100" w:type="dxa"/>
              <w:right w:w="60" w:type="dxa"/>
            </w:tcMar>
            <w:vAlign w:val="center"/>
          </w:tcPr>
          <w:p w14:paraId="6FEB7E45" w14:textId="77777777" w:rsidR="00D1571C" w:rsidRPr="00D1571C" w:rsidRDefault="00D1571C">
            <w:pPr>
              <w:pStyle w:val="CellHeading-9pt"/>
              <w:rPr>
                <w:w w:val="100"/>
              </w:rPr>
            </w:pPr>
            <w:r w:rsidRPr="00D1571C">
              <w:rPr>
                <w:w w:val="100"/>
              </w:rPr>
              <w:t>FEE</w:t>
            </w:r>
          </w:p>
          <w:p w14:paraId="3858043E" w14:textId="77777777" w:rsidR="00D1571C" w:rsidRPr="00D1571C" w:rsidRDefault="00D1571C">
            <w:pPr>
              <w:pStyle w:val="CellHeading-9pt"/>
            </w:pPr>
            <w:r w:rsidRPr="00D1571C">
              <w:rPr>
                <w:w w:val="100"/>
              </w:rPr>
              <w:t xml:space="preserve"> </w:t>
            </w:r>
            <w:r w:rsidRPr="00D1571C">
              <w:rPr>
                <w:w w:val="100"/>
              </w:rPr>
              <w:br/>
              <w:t>(Not to Exceed)</w:t>
            </w:r>
          </w:p>
        </w:tc>
      </w:tr>
      <w:tr w:rsidR="00D1571C" w:rsidRPr="00D1571C" w14:paraId="378C265F"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703F3170" w14:textId="77777777" w:rsidR="00D1571C" w:rsidRPr="00D1571C" w:rsidRDefault="00D1571C">
            <w:pPr>
              <w:pStyle w:val="CellBody-9ptCenter"/>
              <w:suppressAutoHyphens/>
            </w:pPr>
            <w:r w:rsidRPr="00D1571C">
              <w:rPr>
                <w:w w:val="100"/>
              </w:rPr>
              <w:t>A</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43587C1D" w14:textId="77777777" w:rsidR="00D1571C" w:rsidRPr="00D1571C" w:rsidRDefault="00D1571C">
            <w:pPr>
              <w:pStyle w:val="CellBody-9ptCenter"/>
              <w:suppressAutoHyphens/>
            </w:pPr>
            <w:r w:rsidRPr="00D1571C">
              <w:rPr>
                <w:w w:val="100"/>
              </w:rPr>
              <w:t xml:space="preserve">Scales </w:t>
            </w:r>
            <w:r w:rsidRPr="00D1571C">
              <w:rPr>
                <w:rFonts w:ascii="Symbol" w:hAnsi="Symbol" w:cs="Symbol"/>
                <w:w w:val="100"/>
              </w:rPr>
              <w:t>£</w:t>
            </w:r>
            <w:r w:rsidRPr="00D1571C">
              <w:rPr>
                <w:w w:val="100"/>
              </w:rPr>
              <w:t xml:space="preserve"> 50 </w:t>
            </w:r>
            <w:proofErr w:type="spellStart"/>
            <w:r w:rsidRPr="00D1571C">
              <w:rPr>
                <w:w w:val="100"/>
              </w:rPr>
              <w:t>lb</w:t>
            </w:r>
            <w:proofErr w:type="spellEnd"/>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349E4A10" w14:textId="77777777" w:rsidR="00D1571C" w:rsidRPr="00D1571C" w:rsidRDefault="00D1571C">
            <w:pPr>
              <w:pStyle w:val="CellBody-9ptCenter"/>
              <w:suppressAutoHyphens/>
            </w:pPr>
            <w:r w:rsidRPr="00D1571C">
              <w:rPr>
                <w:w w:val="100"/>
              </w:rPr>
              <w:t>$6.00</w:t>
            </w:r>
          </w:p>
        </w:tc>
      </w:tr>
      <w:tr w:rsidR="00D1571C" w:rsidRPr="00D1571C" w14:paraId="2D3AF949"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16A8ED32" w14:textId="77777777" w:rsidR="00D1571C" w:rsidRPr="00D1571C" w:rsidRDefault="00D1571C">
            <w:pPr>
              <w:pStyle w:val="CellBody-9ptCenter"/>
              <w:suppressAutoHyphens/>
            </w:pPr>
            <w:r w:rsidRPr="00D1571C">
              <w:rPr>
                <w:w w:val="100"/>
              </w:rPr>
              <w:t>B</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69A0531B" w14:textId="77777777" w:rsidR="00D1571C" w:rsidRPr="00D1571C" w:rsidRDefault="00D1571C">
            <w:pPr>
              <w:pStyle w:val="CellBody-9ptCenter"/>
              <w:suppressAutoHyphens/>
            </w:pPr>
            <w:r w:rsidRPr="00D1571C">
              <w:rPr>
                <w:w w:val="100"/>
              </w:rPr>
              <w:t xml:space="preserve">Scales </w:t>
            </w:r>
            <w:r w:rsidRPr="00D1571C">
              <w:rPr>
                <w:rFonts w:ascii="Symbol" w:hAnsi="Symbol" w:cs="Symbol"/>
                <w:w w:val="100"/>
              </w:rPr>
              <w:t>&gt;</w:t>
            </w:r>
            <w:r w:rsidRPr="00D1571C">
              <w:rPr>
                <w:w w:val="100"/>
              </w:rPr>
              <w:t xml:space="preserve"> 50 </w:t>
            </w:r>
            <w:r w:rsidRPr="00D1571C">
              <w:rPr>
                <w:rFonts w:ascii="Symbol" w:hAnsi="Symbol" w:cs="Symbol"/>
                <w:w w:val="100"/>
              </w:rPr>
              <w:t>£</w:t>
            </w:r>
            <w:r w:rsidRPr="00D1571C">
              <w:rPr>
                <w:w w:val="100"/>
              </w:rPr>
              <w:t xml:space="preserve"> 1,159 </w:t>
            </w:r>
            <w:proofErr w:type="spellStart"/>
            <w:r w:rsidRPr="00D1571C">
              <w:rPr>
                <w:w w:val="100"/>
              </w:rPr>
              <w:t>lb</w:t>
            </w:r>
            <w:proofErr w:type="spellEnd"/>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46A118A3" w14:textId="77777777" w:rsidR="00D1571C" w:rsidRPr="00D1571C" w:rsidRDefault="00D1571C">
            <w:pPr>
              <w:pStyle w:val="CellBody-9ptCenter"/>
              <w:suppressAutoHyphens/>
            </w:pPr>
            <w:r w:rsidRPr="00D1571C">
              <w:rPr>
                <w:w w:val="100"/>
              </w:rPr>
              <w:t>$12.00</w:t>
            </w:r>
          </w:p>
        </w:tc>
      </w:tr>
      <w:tr w:rsidR="00D1571C" w:rsidRPr="00D1571C" w14:paraId="047C63B8"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4A7A37B7" w14:textId="77777777" w:rsidR="00D1571C" w:rsidRPr="00D1571C" w:rsidRDefault="00D1571C">
            <w:pPr>
              <w:pStyle w:val="CellBody-9ptCenter"/>
              <w:suppressAutoHyphens/>
            </w:pPr>
            <w:r w:rsidRPr="00D1571C">
              <w:rPr>
                <w:w w:val="100"/>
              </w:rPr>
              <w:t>C</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4DB84B49" w14:textId="77777777" w:rsidR="00D1571C" w:rsidRPr="00D1571C" w:rsidRDefault="00D1571C">
            <w:pPr>
              <w:pStyle w:val="CellBody-9ptCenter"/>
              <w:suppressAutoHyphens/>
            </w:pPr>
            <w:r w:rsidRPr="00D1571C">
              <w:rPr>
                <w:w w:val="100"/>
              </w:rPr>
              <w:t xml:space="preserve">Scales </w:t>
            </w:r>
            <w:r w:rsidRPr="00D1571C">
              <w:rPr>
                <w:rFonts w:ascii="Symbol" w:hAnsi="Symbol" w:cs="Symbol"/>
                <w:w w:val="100"/>
              </w:rPr>
              <w:t>³</w:t>
            </w:r>
            <w:r w:rsidRPr="00D1571C">
              <w:rPr>
                <w:w w:val="100"/>
              </w:rPr>
              <w:t xml:space="preserve"> 1,160 </w:t>
            </w:r>
            <w:r w:rsidRPr="00D1571C">
              <w:rPr>
                <w:rFonts w:ascii="Symbol" w:hAnsi="Symbol" w:cs="Symbol"/>
                <w:w w:val="100"/>
              </w:rPr>
              <w:t>£</w:t>
            </w:r>
            <w:r w:rsidRPr="00D1571C">
              <w:rPr>
                <w:w w:val="100"/>
              </w:rPr>
              <w:t xml:space="preserve"> 7,499 </w:t>
            </w:r>
            <w:proofErr w:type="spellStart"/>
            <w:r w:rsidRPr="00D1571C">
              <w:rPr>
                <w:w w:val="100"/>
              </w:rPr>
              <w:t>lb</w:t>
            </w:r>
            <w:proofErr w:type="spellEnd"/>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322D0743" w14:textId="77777777" w:rsidR="00D1571C" w:rsidRPr="00D1571C" w:rsidRDefault="00D1571C">
            <w:pPr>
              <w:pStyle w:val="CellBody-9ptCenter"/>
              <w:suppressAutoHyphens/>
            </w:pPr>
            <w:r w:rsidRPr="00D1571C">
              <w:rPr>
                <w:w w:val="100"/>
              </w:rPr>
              <w:t>$24.00</w:t>
            </w:r>
          </w:p>
        </w:tc>
      </w:tr>
      <w:tr w:rsidR="00D1571C" w:rsidRPr="00D1571C" w14:paraId="3145DDCC"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330A3D2C" w14:textId="77777777" w:rsidR="00D1571C" w:rsidRPr="00D1571C" w:rsidRDefault="00D1571C">
            <w:pPr>
              <w:pStyle w:val="CellBody-9ptCenter"/>
              <w:suppressAutoHyphens/>
            </w:pPr>
            <w:r w:rsidRPr="00D1571C">
              <w:rPr>
                <w:w w:val="100"/>
              </w:rPr>
              <w:t>D</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2AD984B9" w14:textId="77777777" w:rsidR="00D1571C" w:rsidRPr="00D1571C" w:rsidRDefault="00D1571C">
            <w:pPr>
              <w:pStyle w:val="CellBody-9ptCenter"/>
              <w:suppressAutoHyphens/>
            </w:pPr>
            <w:r w:rsidRPr="00D1571C">
              <w:rPr>
                <w:w w:val="100"/>
              </w:rPr>
              <w:t xml:space="preserve">Scales </w:t>
            </w:r>
            <w:r w:rsidRPr="00D1571C">
              <w:rPr>
                <w:rFonts w:ascii="Symbol" w:hAnsi="Symbol" w:cs="Symbol"/>
                <w:w w:val="100"/>
              </w:rPr>
              <w:t>³</w:t>
            </w:r>
            <w:r w:rsidRPr="00D1571C">
              <w:rPr>
                <w:w w:val="100"/>
              </w:rPr>
              <w:t xml:space="preserve"> 7,500 </w:t>
            </w:r>
            <w:r w:rsidRPr="00D1571C">
              <w:rPr>
                <w:rFonts w:ascii="Symbol" w:hAnsi="Symbol" w:cs="Symbol"/>
                <w:w w:val="100"/>
              </w:rPr>
              <w:t>£</w:t>
            </w:r>
            <w:r w:rsidRPr="00D1571C">
              <w:rPr>
                <w:w w:val="100"/>
              </w:rPr>
              <w:t xml:space="preserve"> 59,999 </w:t>
            </w:r>
            <w:proofErr w:type="spellStart"/>
            <w:r w:rsidRPr="00D1571C">
              <w:rPr>
                <w:w w:val="100"/>
              </w:rPr>
              <w:t>lb</w:t>
            </w:r>
            <w:proofErr w:type="spellEnd"/>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75C56879" w14:textId="77777777" w:rsidR="00D1571C" w:rsidRPr="00D1571C" w:rsidRDefault="00D1571C">
            <w:pPr>
              <w:pStyle w:val="CellBody-9ptCenter"/>
              <w:suppressAutoHyphens/>
            </w:pPr>
            <w:r w:rsidRPr="00D1571C">
              <w:rPr>
                <w:w w:val="100"/>
              </w:rPr>
              <w:t>$100.00</w:t>
            </w:r>
          </w:p>
        </w:tc>
      </w:tr>
      <w:tr w:rsidR="00D1571C" w:rsidRPr="00D1571C" w14:paraId="6E2CC9B0"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605AAE0E" w14:textId="77777777" w:rsidR="00D1571C" w:rsidRPr="00D1571C" w:rsidRDefault="00D1571C">
            <w:pPr>
              <w:pStyle w:val="CellBody-9ptCenter"/>
              <w:suppressAutoHyphens/>
            </w:pPr>
            <w:r w:rsidRPr="00D1571C">
              <w:rPr>
                <w:w w:val="100"/>
              </w:rPr>
              <w:t>E &amp; F</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11D42BDA" w14:textId="77777777" w:rsidR="00D1571C" w:rsidRPr="00D1571C" w:rsidRDefault="00D1571C">
            <w:pPr>
              <w:pStyle w:val="CellBody-9ptCenter"/>
              <w:suppressAutoHyphens/>
            </w:pPr>
            <w:r w:rsidRPr="00D1571C">
              <w:rPr>
                <w:w w:val="100"/>
              </w:rPr>
              <w:t xml:space="preserve">Scales 60,000 </w:t>
            </w:r>
            <w:proofErr w:type="spellStart"/>
            <w:r w:rsidRPr="00D1571C">
              <w:rPr>
                <w:w w:val="100"/>
              </w:rPr>
              <w:t>lbs</w:t>
            </w:r>
            <w:proofErr w:type="spellEnd"/>
            <w:r w:rsidRPr="00D1571C">
              <w:rPr>
                <w:w w:val="100"/>
              </w:rPr>
              <w:t xml:space="preserve"> or more</w:t>
            </w:r>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13A2F8BB" w14:textId="77777777" w:rsidR="00D1571C" w:rsidRPr="00D1571C" w:rsidRDefault="00D1571C">
            <w:pPr>
              <w:pStyle w:val="CellBody-9ptCenter"/>
              <w:suppressAutoHyphens/>
            </w:pPr>
            <w:r w:rsidRPr="00D1571C">
              <w:rPr>
                <w:w w:val="100"/>
              </w:rPr>
              <w:t>$100.00</w:t>
            </w:r>
          </w:p>
        </w:tc>
      </w:tr>
      <w:tr w:rsidR="00D1571C" w:rsidRPr="00D1571C" w14:paraId="185C474F"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47426823" w14:textId="77777777" w:rsidR="00D1571C" w:rsidRPr="00D1571C" w:rsidRDefault="00D1571C">
            <w:pPr>
              <w:pStyle w:val="CellBody-9ptCenter"/>
              <w:suppressAutoHyphens/>
            </w:pPr>
            <w:r w:rsidRPr="00D1571C">
              <w:rPr>
                <w:w w:val="100"/>
              </w:rPr>
              <w:t>G</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59A1E2A7" w14:textId="77777777" w:rsidR="00D1571C" w:rsidRPr="00D1571C" w:rsidRDefault="00D1571C">
            <w:pPr>
              <w:pStyle w:val="CellBody-9ptCenter"/>
              <w:suppressAutoHyphens/>
            </w:pPr>
            <w:r w:rsidRPr="00D1571C">
              <w:rPr>
                <w:w w:val="100"/>
              </w:rPr>
              <w:t xml:space="preserve">Motor-fuel device </w:t>
            </w:r>
            <w:r w:rsidRPr="00D1571C">
              <w:rPr>
                <w:rFonts w:ascii="Symbol" w:hAnsi="Symbol" w:cs="Symbol"/>
                <w:w w:val="100"/>
              </w:rPr>
              <w:t>&lt;</w:t>
            </w:r>
            <w:r w:rsidRPr="00D1571C">
              <w:rPr>
                <w:w w:val="100"/>
              </w:rPr>
              <w:t xml:space="preserve"> 20 </w:t>
            </w:r>
            <w:proofErr w:type="spellStart"/>
            <w:r w:rsidRPr="00D1571C">
              <w:rPr>
                <w:w w:val="100"/>
              </w:rPr>
              <w:t>gpm</w:t>
            </w:r>
            <w:proofErr w:type="spellEnd"/>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3280F5A3" w14:textId="77777777" w:rsidR="00D1571C" w:rsidRPr="00D1571C" w:rsidRDefault="00D1571C">
            <w:pPr>
              <w:pStyle w:val="CellBody-9ptCenter"/>
              <w:suppressAutoHyphens/>
            </w:pPr>
            <w:r w:rsidRPr="00D1571C">
              <w:rPr>
                <w:w w:val="100"/>
              </w:rPr>
              <w:t>$6.00</w:t>
            </w:r>
          </w:p>
        </w:tc>
      </w:tr>
      <w:tr w:rsidR="00D1571C" w:rsidRPr="00D1571C" w14:paraId="3B205A70"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2728540E" w14:textId="77777777" w:rsidR="00D1571C" w:rsidRPr="00D1571C" w:rsidRDefault="00D1571C">
            <w:pPr>
              <w:pStyle w:val="CellBody-9ptCenter"/>
              <w:suppressAutoHyphens/>
            </w:pPr>
            <w:r w:rsidRPr="00D1571C">
              <w:rPr>
                <w:w w:val="100"/>
              </w:rPr>
              <w:t>H</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512D52F5" w14:textId="77777777" w:rsidR="00D1571C" w:rsidRPr="00D1571C" w:rsidRDefault="00D1571C">
            <w:pPr>
              <w:pStyle w:val="CellBody-9ptCenter"/>
              <w:suppressAutoHyphens/>
            </w:pPr>
            <w:r w:rsidRPr="00D1571C">
              <w:rPr>
                <w:w w:val="100"/>
              </w:rPr>
              <w:t xml:space="preserve">Meter </w:t>
            </w:r>
            <w:r w:rsidRPr="00D1571C">
              <w:rPr>
                <w:rFonts w:ascii="Symbol" w:hAnsi="Symbol" w:cs="Symbol"/>
                <w:w w:val="100"/>
              </w:rPr>
              <w:t>³</w:t>
            </w:r>
            <w:r w:rsidRPr="00D1571C">
              <w:rPr>
                <w:w w:val="100"/>
              </w:rPr>
              <w:t xml:space="preserve"> 30 </w:t>
            </w:r>
            <w:r w:rsidRPr="00D1571C">
              <w:rPr>
                <w:rFonts w:ascii="Symbol" w:hAnsi="Symbol" w:cs="Symbol"/>
                <w:w w:val="100"/>
              </w:rPr>
              <w:t>&lt;</w:t>
            </w:r>
            <w:r w:rsidRPr="00D1571C">
              <w:rPr>
                <w:w w:val="100"/>
              </w:rPr>
              <w:t xml:space="preserve"> 150 </w:t>
            </w:r>
            <w:proofErr w:type="spellStart"/>
            <w:r w:rsidRPr="00D1571C">
              <w:rPr>
                <w:w w:val="100"/>
              </w:rPr>
              <w:t>gpm</w:t>
            </w:r>
            <w:proofErr w:type="spellEnd"/>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52D471D8" w14:textId="77777777" w:rsidR="00D1571C" w:rsidRPr="00D1571C" w:rsidRDefault="00D1571C">
            <w:pPr>
              <w:pStyle w:val="CellBody-9ptCenter"/>
              <w:suppressAutoHyphens/>
            </w:pPr>
            <w:r w:rsidRPr="00D1571C">
              <w:rPr>
                <w:w w:val="100"/>
              </w:rPr>
              <w:t>$33.00</w:t>
            </w:r>
          </w:p>
        </w:tc>
      </w:tr>
      <w:tr w:rsidR="00D1571C" w:rsidRPr="00D1571C" w14:paraId="681CEB40"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633A54E6" w14:textId="77777777" w:rsidR="00D1571C" w:rsidRPr="00D1571C" w:rsidRDefault="00D1571C">
            <w:pPr>
              <w:pStyle w:val="CellBody-9ptCenter"/>
              <w:suppressAutoHyphens/>
            </w:pPr>
            <w:r w:rsidRPr="00D1571C">
              <w:rPr>
                <w:w w:val="100"/>
              </w:rPr>
              <w:t>I</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4FD7F011" w14:textId="77777777" w:rsidR="00D1571C" w:rsidRPr="00D1571C" w:rsidRDefault="00D1571C">
            <w:pPr>
              <w:pStyle w:val="CellBody-9ptCenter"/>
              <w:suppressAutoHyphens/>
            </w:pPr>
            <w:r w:rsidRPr="00D1571C">
              <w:rPr>
                <w:w w:val="100"/>
              </w:rPr>
              <w:t xml:space="preserve">Meter </w:t>
            </w:r>
            <w:r w:rsidRPr="00D1571C">
              <w:rPr>
                <w:rFonts w:ascii="Symbol" w:hAnsi="Symbol" w:cs="Symbol"/>
                <w:w w:val="100"/>
              </w:rPr>
              <w:t>³</w:t>
            </w:r>
            <w:r w:rsidRPr="00D1571C">
              <w:rPr>
                <w:w w:val="100"/>
              </w:rPr>
              <w:t xml:space="preserve"> 150 </w:t>
            </w:r>
            <w:proofErr w:type="spellStart"/>
            <w:r w:rsidRPr="00D1571C">
              <w:rPr>
                <w:w w:val="100"/>
              </w:rPr>
              <w:t>gpm</w:t>
            </w:r>
            <w:proofErr w:type="spellEnd"/>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2A21A753" w14:textId="77777777" w:rsidR="00D1571C" w:rsidRPr="00D1571C" w:rsidRDefault="00D1571C">
            <w:pPr>
              <w:pStyle w:val="CellBody-9ptCenter"/>
              <w:suppressAutoHyphens/>
            </w:pPr>
            <w:r w:rsidRPr="00D1571C">
              <w:rPr>
                <w:w w:val="100"/>
              </w:rPr>
              <w:t>$40.00</w:t>
            </w:r>
          </w:p>
        </w:tc>
      </w:tr>
      <w:tr w:rsidR="00D1571C" w:rsidRPr="00D1571C" w14:paraId="579D2618"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3879D6C2" w14:textId="77777777" w:rsidR="00D1571C" w:rsidRPr="00D1571C" w:rsidRDefault="00D1571C">
            <w:pPr>
              <w:pStyle w:val="CellBody-9ptCenter"/>
              <w:suppressAutoHyphens/>
            </w:pPr>
            <w:r w:rsidRPr="00D1571C">
              <w:rPr>
                <w:w w:val="100"/>
              </w:rPr>
              <w:t>J</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3530A885" w14:textId="77777777" w:rsidR="00D1571C" w:rsidRPr="00D1571C" w:rsidRDefault="00D1571C">
            <w:pPr>
              <w:pStyle w:val="CellBody-9ptCenter"/>
              <w:suppressAutoHyphens/>
            </w:pPr>
            <w:r w:rsidRPr="00D1571C">
              <w:rPr>
                <w:w w:val="100"/>
              </w:rPr>
              <w:t>LPG dispenser</w:t>
            </w:r>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26BDBA34" w14:textId="77777777" w:rsidR="00D1571C" w:rsidRPr="00D1571C" w:rsidRDefault="00D1571C">
            <w:pPr>
              <w:pStyle w:val="CellBody-9ptCenter"/>
              <w:suppressAutoHyphens/>
            </w:pPr>
            <w:r w:rsidRPr="00D1571C">
              <w:rPr>
                <w:w w:val="100"/>
              </w:rPr>
              <w:t>$40.00</w:t>
            </w:r>
          </w:p>
        </w:tc>
      </w:tr>
      <w:tr w:rsidR="00D1571C" w:rsidRPr="00D1571C" w14:paraId="66187672"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42CB5251" w14:textId="77777777" w:rsidR="00D1571C" w:rsidRPr="00D1571C" w:rsidRDefault="00D1571C">
            <w:pPr>
              <w:pStyle w:val="CellBody-9ptCenter"/>
              <w:suppressAutoHyphens/>
            </w:pPr>
            <w:r w:rsidRPr="00D1571C">
              <w:rPr>
                <w:w w:val="100"/>
              </w:rPr>
              <w:t>K &amp; L</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0D21C0F9" w14:textId="77777777" w:rsidR="00D1571C" w:rsidRPr="00D1571C" w:rsidRDefault="00D1571C">
            <w:pPr>
              <w:pStyle w:val="CellBody-9ptCenter"/>
              <w:suppressAutoHyphens/>
            </w:pPr>
            <w:r w:rsidRPr="00D1571C">
              <w:rPr>
                <w:w w:val="100"/>
              </w:rPr>
              <w:t>LPG temperature compensated</w:t>
            </w:r>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62F4D83D" w14:textId="77777777" w:rsidR="00D1571C" w:rsidRPr="00D1571C" w:rsidRDefault="00D1571C">
            <w:pPr>
              <w:pStyle w:val="CellBody-9ptCenter"/>
              <w:suppressAutoHyphens/>
            </w:pPr>
            <w:r w:rsidRPr="00D1571C">
              <w:rPr>
                <w:w w:val="100"/>
              </w:rPr>
              <w:t>$60.00</w:t>
            </w:r>
          </w:p>
        </w:tc>
      </w:tr>
      <w:tr w:rsidR="00D1571C" w:rsidRPr="00D1571C" w14:paraId="398BB0EA"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5384EEE5" w14:textId="77777777" w:rsidR="00D1571C" w:rsidRPr="00D1571C" w:rsidRDefault="00D1571C">
            <w:pPr>
              <w:pStyle w:val="CellBody-9ptCenter"/>
              <w:suppressAutoHyphens/>
            </w:pPr>
            <w:r w:rsidRPr="00D1571C">
              <w:rPr>
                <w:w w:val="100"/>
              </w:rPr>
              <w:t>M</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2DCDAE38" w14:textId="77777777" w:rsidR="00D1571C" w:rsidRPr="00D1571C" w:rsidRDefault="00D1571C">
            <w:pPr>
              <w:pStyle w:val="CellBody-9ptCenter"/>
              <w:suppressAutoHyphens/>
            </w:pPr>
            <w:r w:rsidRPr="00D1571C">
              <w:rPr>
                <w:w w:val="100"/>
              </w:rPr>
              <w:t>Cordage or Fabric meters</w:t>
            </w:r>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46A16AD1" w14:textId="77777777" w:rsidR="00D1571C" w:rsidRPr="00D1571C" w:rsidRDefault="00D1571C">
            <w:pPr>
              <w:pStyle w:val="CellBody-9ptCenter"/>
              <w:suppressAutoHyphens/>
            </w:pPr>
            <w:r w:rsidRPr="00D1571C">
              <w:rPr>
                <w:w w:val="100"/>
              </w:rPr>
              <w:t>$5.00</w:t>
            </w:r>
          </w:p>
        </w:tc>
      </w:tr>
      <w:tr w:rsidR="00D1571C" w:rsidRPr="00D1571C" w14:paraId="5F2A5D36"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3F0EC472" w14:textId="77777777" w:rsidR="00D1571C" w:rsidRPr="00D1571C" w:rsidRDefault="00D1571C">
            <w:pPr>
              <w:pStyle w:val="CellBody-9ptCenter"/>
              <w:suppressAutoHyphens/>
            </w:pPr>
            <w:r w:rsidRPr="00D1571C">
              <w:rPr>
                <w:w w:val="100"/>
              </w:rPr>
              <w:t>N</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34930F2C" w14:textId="77777777" w:rsidR="00D1571C" w:rsidRPr="00D1571C" w:rsidRDefault="00D1571C">
            <w:pPr>
              <w:pStyle w:val="CellBody-9ptCenter"/>
              <w:suppressAutoHyphens/>
            </w:pPr>
            <w:r w:rsidRPr="00D1571C">
              <w:rPr>
                <w:w w:val="100"/>
              </w:rPr>
              <w:t>Natural gas motor fuel devices</w:t>
            </w:r>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08B9E8F3" w14:textId="77777777" w:rsidR="00D1571C" w:rsidRPr="00D1571C" w:rsidRDefault="00D1571C">
            <w:pPr>
              <w:pStyle w:val="CellBody-9ptCenter"/>
              <w:suppressAutoHyphens/>
            </w:pPr>
            <w:r w:rsidRPr="00D1571C">
              <w:rPr>
                <w:w w:val="100"/>
              </w:rPr>
              <w:t>$60.00</w:t>
            </w:r>
          </w:p>
        </w:tc>
      </w:tr>
      <w:tr w:rsidR="00D1571C" w:rsidRPr="00D1571C" w14:paraId="1DE50026" w14:textId="77777777">
        <w:trPr>
          <w:trHeight w:val="32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7746BD86" w14:textId="77777777" w:rsidR="00D1571C" w:rsidRPr="00D1571C" w:rsidRDefault="00D1571C">
            <w:pPr>
              <w:pStyle w:val="CellBody-9ptCenter"/>
              <w:suppressAutoHyphens/>
            </w:pPr>
            <w:r w:rsidRPr="00D1571C">
              <w:rPr>
                <w:w w:val="100"/>
              </w:rPr>
              <w:t>O</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6FE1C6DF" w14:textId="77777777" w:rsidR="00D1571C" w:rsidRPr="00D1571C" w:rsidRDefault="00D1571C">
            <w:pPr>
              <w:pStyle w:val="CellBody-9ptCenter"/>
              <w:suppressAutoHyphens/>
            </w:pPr>
            <w:r w:rsidRPr="00D1571C">
              <w:rPr>
                <w:w w:val="100"/>
              </w:rPr>
              <w:t>Bulk oil meter</w:t>
            </w:r>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43974954" w14:textId="77777777" w:rsidR="00D1571C" w:rsidRPr="00D1571C" w:rsidRDefault="00D1571C">
            <w:pPr>
              <w:pStyle w:val="CellBody-9ptCenter"/>
              <w:suppressAutoHyphens/>
            </w:pPr>
            <w:r w:rsidRPr="00D1571C">
              <w:rPr>
                <w:w w:val="100"/>
              </w:rPr>
              <w:t>$35.00</w:t>
            </w:r>
          </w:p>
        </w:tc>
      </w:tr>
      <w:tr w:rsidR="00D1571C" w:rsidRPr="00D1571C" w14:paraId="42543FFF" w14:textId="77777777">
        <w:trPr>
          <w:trHeight w:val="540"/>
          <w:jc w:val="center"/>
        </w:trPr>
        <w:tc>
          <w:tcPr>
            <w:tcW w:w="14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7543631B" w14:textId="77777777" w:rsidR="00D1571C" w:rsidRPr="00D1571C" w:rsidRDefault="00D1571C">
            <w:pPr>
              <w:pStyle w:val="CellBody-9ptCenter"/>
              <w:suppressAutoHyphens/>
            </w:pPr>
            <w:r w:rsidRPr="00D1571C">
              <w:rPr>
                <w:w w:val="100"/>
              </w:rPr>
              <w:t>P</w:t>
            </w:r>
          </w:p>
        </w:tc>
        <w:tc>
          <w:tcPr>
            <w:tcW w:w="374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353DF094" w14:textId="77777777" w:rsidR="00D1571C" w:rsidRPr="00D1571C" w:rsidRDefault="00D1571C">
            <w:pPr>
              <w:pStyle w:val="CellBody-9ptCenter"/>
              <w:suppressAutoHyphens/>
            </w:pPr>
            <w:r w:rsidRPr="00D1571C">
              <w:rPr>
                <w:w w:val="100"/>
              </w:rPr>
              <w:t xml:space="preserve">Meter </w:t>
            </w:r>
            <w:r w:rsidRPr="00D1571C">
              <w:rPr>
                <w:rFonts w:ascii="Symbol" w:hAnsi="Symbol" w:cs="Symbol"/>
                <w:w w:val="100"/>
              </w:rPr>
              <w:t>&gt;</w:t>
            </w:r>
            <w:r w:rsidRPr="00D1571C">
              <w:rPr>
                <w:w w:val="100"/>
              </w:rPr>
              <w:t xml:space="preserve"> 20 </w:t>
            </w:r>
            <w:r w:rsidRPr="00D1571C">
              <w:rPr>
                <w:rFonts w:ascii="Symbol" w:hAnsi="Symbol" w:cs="Symbol"/>
                <w:w w:val="100"/>
              </w:rPr>
              <w:t>£</w:t>
            </w:r>
            <w:r w:rsidRPr="00D1571C">
              <w:rPr>
                <w:w w:val="100"/>
              </w:rPr>
              <w:t xml:space="preserve"> 30 </w:t>
            </w:r>
            <w:proofErr w:type="spellStart"/>
            <w:r w:rsidRPr="00D1571C">
              <w:rPr>
                <w:w w:val="100"/>
              </w:rPr>
              <w:t>gpm</w:t>
            </w:r>
            <w:proofErr w:type="spellEnd"/>
            <w:r w:rsidRPr="00D1571C">
              <w:rPr>
                <w:w w:val="100"/>
              </w:rPr>
              <w:t xml:space="preserve"> </w:t>
            </w:r>
            <w:r w:rsidRPr="00D1571C">
              <w:rPr>
                <w:w w:val="100"/>
              </w:rPr>
              <w:br/>
              <w:t>or fuel additive metering devices</w:t>
            </w:r>
          </w:p>
        </w:tc>
        <w:tc>
          <w:tcPr>
            <w:tcW w:w="1700" w:type="dxa"/>
            <w:tcBorders>
              <w:top w:val="nil"/>
              <w:left w:val="single" w:sz="4" w:space="0" w:color="000000"/>
              <w:bottom w:val="single" w:sz="4" w:space="0" w:color="000000"/>
              <w:right w:val="single" w:sz="4" w:space="0" w:color="000000"/>
            </w:tcBorders>
            <w:tcMar>
              <w:top w:w="80" w:type="dxa"/>
              <w:left w:w="60" w:type="dxa"/>
              <w:bottom w:w="60" w:type="dxa"/>
              <w:right w:w="60" w:type="dxa"/>
            </w:tcMar>
            <w:vAlign w:val="center"/>
          </w:tcPr>
          <w:p w14:paraId="24433BA7" w14:textId="77777777" w:rsidR="00D1571C" w:rsidRPr="00D1571C" w:rsidRDefault="00D1571C">
            <w:pPr>
              <w:pStyle w:val="CellBody-9ptCenter"/>
              <w:suppressAutoHyphens/>
            </w:pPr>
            <w:r w:rsidRPr="00D1571C">
              <w:rPr>
                <w:w w:val="100"/>
              </w:rPr>
              <w:t>$10.00</w:t>
            </w:r>
          </w:p>
        </w:tc>
      </w:tr>
    </w:tbl>
    <w:p w14:paraId="3527FAAB" w14:textId="77777777" w:rsidR="00D1571C" w:rsidRDefault="00D1571C">
      <w:pPr>
        <w:pStyle w:val="Body"/>
        <w:rPr>
          <w:w w:val="100"/>
        </w:rPr>
      </w:pPr>
    </w:p>
    <w:p w14:paraId="59C85493" w14:textId="77777777" w:rsidR="00D1571C" w:rsidRDefault="00D1571C">
      <w:pPr>
        <w:pStyle w:val="Body"/>
        <w:rPr>
          <w:w w:val="100"/>
        </w:rPr>
      </w:pPr>
    </w:p>
    <w:p w14:paraId="75617F2A" w14:textId="77777777" w:rsidR="00D1571C" w:rsidRDefault="00CF40EE">
      <w:pPr>
        <w:pStyle w:val="Body"/>
        <w:rPr>
          <w:w w:val="100"/>
        </w:rPr>
      </w:pPr>
      <w:r>
        <w:rPr>
          <w:w w:val="100"/>
        </w:rPr>
        <w:tab/>
      </w:r>
      <w:r w:rsidR="000F1BF5">
        <w:rPr>
          <w:w w:val="100"/>
        </w:rPr>
        <w:tab/>
      </w:r>
      <w:r w:rsidR="000F1BF5">
        <w:rPr>
          <w:w w:val="100"/>
        </w:rPr>
        <w:tab/>
      </w:r>
      <w:r w:rsidR="00D1571C">
        <w:rPr>
          <w:w w:val="100"/>
        </w:rPr>
        <w:t>(3-15-22)</w:t>
      </w:r>
    </w:p>
    <w:p w14:paraId="38586073" w14:textId="77777777" w:rsidR="00D1571C" w:rsidRDefault="00D1571C">
      <w:pPr>
        <w:pStyle w:val="Body"/>
        <w:rPr>
          <w:w w:val="100"/>
        </w:rPr>
      </w:pPr>
    </w:p>
    <w:p w14:paraId="3178EEB9" w14:textId="77777777" w:rsidR="00D1571C" w:rsidRDefault="00D1571C">
      <w:pPr>
        <w:pStyle w:val="SectionNameTOC"/>
        <w:rPr>
          <w:w w:val="100"/>
        </w:rPr>
      </w:pPr>
      <w:r>
        <w:rPr>
          <w:w w:val="100"/>
        </w:rPr>
        <w:lastRenderedPageBreak/>
        <w:t>017.</w:t>
      </w:r>
      <w:r>
        <w:rPr>
          <w:w w:val="100"/>
        </w:rPr>
        <w:tab/>
      </w:r>
      <w:r>
        <w:rPr>
          <w:w w:val="100"/>
        </w:rPr>
        <w:fldChar w:fldCharType="begin"/>
      </w:r>
      <w:r>
        <w:rPr>
          <w:w w:val="100"/>
        </w:rPr>
        <w:instrText>xe "Voluntary Inspection Of Weighing &amp; Measuring Instruments &amp; Devices, Fees"</w:instrText>
      </w:r>
      <w:r>
        <w:rPr>
          <w:w w:val="100"/>
        </w:rPr>
        <w:fldChar w:fldCharType="end"/>
      </w:r>
      <w:r>
        <w:rPr>
          <w:w w:val="100"/>
        </w:rPr>
        <w:t>Voluntary Inspection Of Weighing And Measuring Instruments And Devices, Fees.</w:t>
      </w:r>
    </w:p>
    <w:p w14:paraId="076B0BF9" w14:textId="77777777" w:rsidR="00D1571C" w:rsidRDefault="00D1571C">
      <w:pPr>
        <w:pStyle w:val="Body"/>
        <w:rPr>
          <w:w w:val="100"/>
        </w:rPr>
      </w:pPr>
      <w:r>
        <w:rPr>
          <w:w w:val="100"/>
        </w:rPr>
        <w:t>In addition to commercially used weighing and measuring instruments and devices, the Bureau, at the request of an owner or user thereof, may inspect and test non-commercial weighing or measuring instruments or devices to ascertain if they are correct. Any entity making such special request must pay the Bureau the cost of the inspection as listed in Section 100.</w:t>
      </w:r>
      <w:r w:rsidR="000F1BF5">
        <w:rPr>
          <w:w w:val="100"/>
        </w:rPr>
        <w:tab/>
      </w:r>
      <w:r>
        <w:rPr>
          <w:w w:val="100"/>
        </w:rPr>
        <w:t>(7-1-26)</w:t>
      </w:r>
    </w:p>
    <w:p w14:paraId="30B6FDFD" w14:textId="77777777" w:rsidR="00D1571C" w:rsidRDefault="00D1571C">
      <w:pPr>
        <w:pStyle w:val="Body"/>
        <w:rPr>
          <w:w w:val="100"/>
        </w:rPr>
      </w:pPr>
    </w:p>
    <w:p w14:paraId="773AA507" w14:textId="77777777" w:rsidR="00D1571C" w:rsidRDefault="00D1571C">
      <w:pPr>
        <w:pStyle w:val="SectionNameTOC"/>
        <w:rPr>
          <w:w w:val="100"/>
        </w:rPr>
      </w:pPr>
      <w:r>
        <w:rPr>
          <w:w w:val="100"/>
        </w:rPr>
        <w:t>018.</w:t>
      </w:r>
      <w:r>
        <w:rPr>
          <w:w w:val="100"/>
        </w:rPr>
        <w:tab/>
      </w:r>
      <w:r>
        <w:rPr>
          <w:w w:val="100"/>
        </w:rPr>
        <w:fldChar w:fldCharType="begin"/>
      </w:r>
      <w:r>
        <w:rPr>
          <w:w w:val="100"/>
        </w:rPr>
        <w:instrText>xe "License Displayed"</w:instrText>
      </w:r>
      <w:r>
        <w:rPr>
          <w:w w:val="100"/>
        </w:rPr>
        <w:fldChar w:fldCharType="end"/>
      </w:r>
      <w:r>
        <w:rPr>
          <w:w w:val="100"/>
        </w:rPr>
        <w:t>License Displayed.</w:t>
      </w:r>
    </w:p>
    <w:p w14:paraId="1FDA00BF" w14:textId="77777777" w:rsidR="00D1571C" w:rsidRDefault="00D1571C">
      <w:pPr>
        <w:pStyle w:val="Body"/>
        <w:rPr>
          <w:w w:val="100"/>
        </w:rPr>
      </w:pPr>
      <w:r>
        <w:rPr>
          <w:w w:val="100"/>
        </w:rPr>
        <w:t>Any owner or user of commercially used weighing and measuring instruments and devices must display the current annual license for those instruments and devices in a prominent place at the same physical location where those devices are installed or used. In the case of devices installed on vehicles, the license must be carried in the vehicle on which the device is installed.</w:t>
      </w:r>
      <w:r w:rsidR="00CF40EE">
        <w:rPr>
          <w:w w:val="100"/>
        </w:rPr>
        <w:tab/>
      </w:r>
      <w:r>
        <w:rPr>
          <w:w w:val="100"/>
        </w:rPr>
        <w:t>(3-15-22)</w:t>
      </w:r>
    </w:p>
    <w:p w14:paraId="095B54F7" w14:textId="77777777" w:rsidR="00D1571C" w:rsidRDefault="00D1571C">
      <w:pPr>
        <w:pStyle w:val="Body"/>
        <w:rPr>
          <w:w w:val="100"/>
        </w:rPr>
      </w:pPr>
    </w:p>
    <w:p w14:paraId="0FD73657" w14:textId="77777777" w:rsidR="00D1571C" w:rsidRDefault="00D1571C">
      <w:pPr>
        <w:pStyle w:val="SectionNameTOC2"/>
        <w:rPr>
          <w:w w:val="100"/>
        </w:rPr>
      </w:pPr>
      <w:r>
        <w:rPr>
          <w:w w:val="100"/>
        </w:rPr>
        <w:t>019. -- 099.</w:t>
      </w:r>
      <w:r w:rsidR="00CF40EE">
        <w:rPr>
          <w:w w:val="100"/>
        </w:rPr>
        <w:tab/>
      </w:r>
      <w:r>
        <w:rPr>
          <w:w w:val="100"/>
        </w:rPr>
        <w:t>(Reserved)</w:t>
      </w:r>
    </w:p>
    <w:p w14:paraId="4E4C5A55" w14:textId="77777777" w:rsidR="00D1571C" w:rsidRDefault="00D1571C">
      <w:pPr>
        <w:pStyle w:val="Body"/>
        <w:rPr>
          <w:w w:val="100"/>
        </w:rPr>
      </w:pPr>
    </w:p>
    <w:p w14:paraId="62324798" w14:textId="77777777" w:rsidR="00D1571C" w:rsidRDefault="00D1571C">
      <w:pPr>
        <w:pStyle w:val="SectionNameTOC"/>
        <w:rPr>
          <w:w w:val="100"/>
        </w:rPr>
      </w:pPr>
      <w:r>
        <w:rPr>
          <w:w w:val="100"/>
        </w:rPr>
        <w:t>100.</w:t>
      </w:r>
      <w:r>
        <w:rPr>
          <w:w w:val="100"/>
        </w:rPr>
        <w:tab/>
      </w:r>
      <w:r>
        <w:rPr>
          <w:w w:val="100"/>
        </w:rPr>
        <w:fldChar w:fldCharType="begin"/>
      </w:r>
      <w:r>
        <w:rPr>
          <w:w w:val="100"/>
        </w:rPr>
        <w:instrText>xe "Charges For Special Request Testing Or Examination"</w:instrText>
      </w:r>
      <w:r>
        <w:rPr>
          <w:w w:val="100"/>
        </w:rPr>
        <w:fldChar w:fldCharType="end"/>
      </w:r>
      <w:r>
        <w:rPr>
          <w:w w:val="100"/>
        </w:rPr>
        <w:t>Charges For Special Request Testing Or Examination.</w:t>
      </w:r>
    </w:p>
    <w:p w14:paraId="3DF16E75" w14:textId="77777777" w:rsidR="00D1571C" w:rsidRDefault="00D1571C">
      <w:pPr>
        <w:pStyle w:val="Body"/>
        <w:rPr>
          <w:w w:val="100"/>
        </w:rPr>
      </w:pPr>
    </w:p>
    <w:p w14:paraId="722748FB" w14:textId="77777777" w:rsidR="00D1571C" w:rsidRDefault="00D1571C">
      <w:pPr>
        <w:pStyle w:val="Body"/>
        <w:rPr>
          <w:w w:val="100"/>
        </w:rPr>
      </w:pPr>
      <w:r>
        <w:rPr>
          <w:w w:val="100"/>
        </w:rPr>
        <w:tab/>
      </w:r>
      <w:r>
        <w:rPr>
          <w:rStyle w:val="Bold"/>
        </w:rPr>
        <w:t>01.</w:t>
      </w:r>
      <w:r>
        <w:rPr>
          <w:rStyle w:val="Bold"/>
        </w:rPr>
        <w:tab/>
      </w:r>
      <w:r>
        <w:rPr>
          <w:rStyle w:val="Bold"/>
        </w:rPr>
        <w:fldChar w:fldCharType="begin"/>
      </w:r>
      <w:r>
        <w:rPr>
          <w:rStyle w:val="Bold"/>
        </w:rPr>
        <w:instrText>xe "Charges For Special Request Testing Or Examination: Mileage Charges"</w:instrText>
      </w:r>
      <w:r>
        <w:rPr>
          <w:rStyle w:val="Bold"/>
        </w:rPr>
        <w:fldChar w:fldCharType="end"/>
      </w:r>
      <w:r>
        <w:rPr>
          <w:rStyle w:val="Bold"/>
        </w:rPr>
        <w:t>Mileage Charges</w:t>
      </w:r>
      <w:r>
        <w:rPr>
          <w:w w:val="100"/>
        </w:rPr>
        <w:t>.</w:t>
      </w:r>
      <w:r>
        <w:rPr>
          <w:w w:val="100"/>
        </w:rPr>
        <w:tab/>
        <w:t>(3-15-22)</w:t>
      </w:r>
    </w:p>
    <w:p w14:paraId="6827B426" w14:textId="77777777" w:rsidR="00D1571C" w:rsidRDefault="00D1571C">
      <w:pPr>
        <w:pStyle w:val="Body"/>
        <w:rPr>
          <w:w w:val="100"/>
        </w:rPr>
      </w:pPr>
    </w:p>
    <w:p w14:paraId="56371675" w14:textId="77777777" w:rsidR="00D1571C" w:rsidRDefault="00D1571C">
      <w:pPr>
        <w:pStyle w:val="Body"/>
        <w:rPr>
          <w:w w:val="100"/>
        </w:rPr>
      </w:pPr>
      <w:r>
        <w:rPr>
          <w:w w:val="100"/>
        </w:rPr>
        <w:tab/>
      </w:r>
      <w:r>
        <w:rPr>
          <w:rStyle w:val="Bold"/>
        </w:rPr>
        <w:t>a.</w:t>
      </w:r>
      <w:r>
        <w:rPr>
          <w:w w:val="100"/>
        </w:rPr>
        <w:tab/>
      </w:r>
      <w:r>
        <w:rPr>
          <w:rStyle w:val="Hyperlink"/>
        </w:rPr>
        <w:t>C</w:t>
      </w:r>
      <w:hyperlink r:id="rId22" w:history="1">
        <w:r>
          <w:rPr>
            <w:rStyle w:val="Hyperlink"/>
          </w:rPr>
          <w:t>urrent state mileage rate</w:t>
        </w:r>
      </w:hyperlink>
      <w:r>
        <w:rPr>
          <w:w w:val="100"/>
        </w:rPr>
        <w:t xml:space="preserve"> for car travel.</w:t>
      </w:r>
      <w:r>
        <w:rPr>
          <w:w w:val="100"/>
        </w:rPr>
        <w:tab/>
        <w:t>(7-1-26)</w:t>
      </w:r>
    </w:p>
    <w:p w14:paraId="1A655BA0" w14:textId="77777777" w:rsidR="00D1571C" w:rsidRDefault="00D1571C">
      <w:pPr>
        <w:pStyle w:val="Body"/>
        <w:rPr>
          <w:w w:val="100"/>
        </w:rPr>
      </w:pPr>
    </w:p>
    <w:p w14:paraId="3D78C9CA" w14:textId="77777777" w:rsidR="00D1571C" w:rsidRDefault="00D1571C">
      <w:pPr>
        <w:pStyle w:val="Body"/>
        <w:rPr>
          <w:w w:val="100"/>
        </w:rPr>
      </w:pPr>
      <w:r>
        <w:rPr>
          <w:w w:val="100"/>
        </w:rPr>
        <w:tab/>
      </w:r>
      <w:r>
        <w:rPr>
          <w:rStyle w:val="Bold"/>
        </w:rPr>
        <w:t>b.</w:t>
      </w:r>
      <w:r>
        <w:rPr>
          <w:w w:val="100"/>
        </w:rPr>
        <w:tab/>
        <w:t>Seventy-five cents ($.75) a mile for pickup and prover.</w:t>
      </w:r>
      <w:r>
        <w:rPr>
          <w:w w:val="100"/>
        </w:rPr>
        <w:tab/>
        <w:t>(3-15-22)</w:t>
      </w:r>
    </w:p>
    <w:p w14:paraId="5DE21ADB" w14:textId="77777777" w:rsidR="00D1571C" w:rsidRDefault="00D1571C">
      <w:pPr>
        <w:pStyle w:val="Body"/>
        <w:rPr>
          <w:w w:val="100"/>
        </w:rPr>
      </w:pPr>
    </w:p>
    <w:p w14:paraId="462D208B" w14:textId="77777777" w:rsidR="00D1571C" w:rsidRDefault="00D1571C">
      <w:pPr>
        <w:pStyle w:val="Body"/>
        <w:rPr>
          <w:w w:val="100"/>
        </w:rPr>
      </w:pPr>
      <w:r>
        <w:rPr>
          <w:w w:val="100"/>
        </w:rPr>
        <w:tab/>
      </w:r>
      <w:r>
        <w:rPr>
          <w:rStyle w:val="Bold"/>
        </w:rPr>
        <w:t>c.</w:t>
      </w:r>
      <w:r>
        <w:rPr>
          <w:w w:val="100"/>
        </w:rPr>
        <w:tab/>
        <w:t>Two dollars and fifty cents ($2.50) a mile for heavy capacity scale trucks.</w:t>
      </w:r>
      <w:r>
        <w:rPr>
          <w:w w:val="100"/>
        </w:rPr>
        <w:tab/>
        <w:t>(3-15-22)</w:t>
      </w:r>
    </w:p>
    <w:p w14:paraId="4C465E4B" w14:textId="77777777" w:rsidR="00D1571C" w:rsidRDefault="00D1571C">
      <w:pPr>
        <w:pStyle w:val="Body"/>
        <w:rPr>
          <w:w w:val="100"/>
        </w:rPr>
      </w:pPr>
    </w:p>
    <w:p w14:paraId="429C4F5E" w14:textId="77777777" w:rsidR="00D1571C" w:rsidRDefault="00D1571C">
      <w:pPr>
        <w:pStyle w:val="Body"/>
        <w:rPr>
          <w:w w:val="100"/>
        </w:rPr>
      </w:pPr>
      <w:r>
        <w:rPr>
          <w:w w:val="100"/>
        </w:rPr>
        <w:tab/>
      </w:r>
      <w:r>
        <w:rPr>
          <w:rStyle w:val="Bold"/>
        </w:rPr>
        <w:t>02.</w:t>
      </w:r>
      <w:r>
        <w:rPr>
          <w:rStyle w:val="Bold"/>
        </w:rPr>
        <w:tab/>
      </w:r>
      <w:r>
        <w:rPr>
          <w:rStyle w:val="Bold"/>
        </w:rPr>
        <w:fldChar w:fldCharType="begin"/>
      </w:r>
      <w:r>
        <w:rPr>
          <w:rStyle w:val="Bold"/>
        </w:rPr>
        <w:instrText>xe "Charges For Special Request Testing Or Examination: Fee Collection"</w:instrText>
      </w:r>
      <w:r>
        <w:rPr>
          <w:rStyle w:val="Bold"/>
        </w:rPr>
        <w:fldChar w:fldCharType="end"/>
      </w:r>
      <w:r>
        <w:rPr>
          <w:rStyle w:val="Bold"/>
        </w:rPr>
        <w:t>Fee Collection</w:t>
      </w:r>
      <w:r>
        <w:rPr>
          <w:w w:val="100"/>
        </w:rPr>
        <w:t>. Such fees will be collected from place where working and back. Where more than one (1) request is to be handled on same trip, the mileage will be prorated between the parties requesting the service.</w:t>
      </w:r>
    </w:p>
    <w:p w14:paraId="019DA71D" w14:textId="77777777" w:rsidR="00D1571C" w:rsidRDefault="00CF40EE">
      <w:pPr>
        <w:pStyle w:val="Body"/>
        <w:rPr>
          <w:w w:val="100"/>
        </w:rPr>
      </w:pPr>
      <w:r>
        <w:rPr>
          <w:w w:val="100"/>
        </w:rPr>
        <w:tab/>
      </w:r>
      <w:r w:rsidR="000F1BF5">
        <w:rPr>
          <w:w w:val="100"/>
        </w:rPr>
        <w:tab/>
      </w:r>
      <w:r w:rsidR="000F1BF5">
        <w:rPr>
          <w:w w:val="100"/>
        </w:rPr>
        <w:tab/>
      </w:r>
      <w:r w:rsidR="00D1571C">
        <w:rPr>
          <w:w w:val="100"/>
        </w:rPr>
        <w:t>(3-15-22)</w:t>
      </w:r>
    </w:p>
    <w:p w14:paraId="1820AE79" w14:textId="77777777" w:rsidR="00D1571C" w:rsidRDefault="00D1571C">
      <w:pPr>
        <w:pStyle w:val="Body"/>
        <w:rPr>
          <w:w w:val="100"/>
        </w:rPr>
      </w:pPr>
    </w:p>
    <w:p w14:paraId="38D20E82" w14:textId="77777777" w:rsidR="00D1571C" w:rsidRDefault="00D1571C">
      <w:pPr>
        <w:pStyle w:val="Body"/>
        <w:rPr>
          <w:w w:val="100"/>
        </w:rPr>
      </w:pPr>
      <w:r>
        <w:rPr>
          <w:w w:val="100"/>
        </w:rPr>
        <w:tab/>
      </w:r>
      <w:r>
        <w:rPr>
          <w:rStyle w:val="Bold"/>
        </w:rPr>
        <w:t>03.</w:t>
      </w:r>
      <w:r>
        <w:rPr>
          <w:rStyle w:val="Bold"/>
        </w:rPr>
        <w:tab/>
      </w:r>
      <w:r>
        <w:rPr>
          <w:rStyle w:val="Bold"/>
        </w:rPr>
        <w:fldChar w:fldCharType="begin"/>
      </w:r>
      <w:r>
        <w:rPr>
          <w:rStyle w:val="Bold"/>
        </w:rPr>
        <w:instrText>xe "Charges For Special Request Testing Or Examination: Personnel Charges"</w:instrText>
      </w:r>
      <w:r>
        <w:rPr>
          <w:rStyle w:val="Bold"/>
        </w:rPr>
        <w:fldChar w:fldCharType="end"/>
      </w:r>
      <w:r>
        <w:rPr>
          <w:rStyle w:val="Bold"/>
        </w:rPr>
        <w:t>Personnel Charges</w:t>
      </w:r>
      <w:r>
        <w:rPr>
          <w:w w:val="100"/>
        </w:rPr>
        <w:t>. There will also be an hourly personnel charge of thirty dollars ($30) per hour per person for special request testing, chargeable during the time of the actual testing and examination of devices and for driving time.</w:t>
      </w:r>
      <w:r w:rsidR="00CF40EE">
        <w:rPr>
          <w:w w:val="100"/>
        </w:rPr>
        <w:tab/>
      </w:r>
      <w:r>
        <w:rPr>
          <w:w w:val="100"/>
        </w:rPr>
        <w:t>(3-15-22)</w:t>
      </w:r>
    </w:p>
    <w:p w14:paraId="6D835931" w14:textId="77777777" w:rsidR="00D1571C" w:rsidRDefault="00D1571C">
      <w:pPr>
        <w:pStyle w:val="Body"/>
        <w:rPr>
          <w:w w:val="100"/>
        </w:rPr>
      </w:pPr>
    </w:p>
    <w:p w14:paraId="6301ABBA" w14:textId="77777777" w:rsidR="00D1571C" w:rsidRDefault="00D1571C">
      <w:pPr>
        <w:pStyle w:val="SectionNameTOC2"/>
        <w:rPr>
          <w:w w:val="100"/>
        </w:rPr>
      </w:pPr>
      <w:r>
        <w:rPr>
          <w:w w:val="100"/>
        </w:rPr>
        <w:t>101. -- 999.</w:t>
      </w:r>
      <w:r w:rsidR="00CF40EE">
        <w:rPr>
          <w:w w:val="100"/>
        </w:rPr>
        <w:tab/>
      </w:r>
      <w:r>
        <w:rPr>
          <w:w w:val="100"/>
        </w:rPr>
        <w:t>(Reserved)</w:t>
      </w:r>
    </w:p>
    <w:p w14:paraId="5225F362" w14:textId="77777777" w:rsidR="00D1571C" w:rsidRDefault="00D1571C">
      <w:pPr>
        <w:pStyle w:val="Body"/>
        <w:rPr>
          <w:w w:val="100"/>
        </w:rPr>
      </w:pPr>
    </w:p>
    <w:sectPr w:rsidR="00D1571C">
      <w:headerReference w:type="default" r:id="rId23"/>
      <w:footerReference w:type="default" r:id="rId24"/>
      <w:headerReference w:type="first" r:id="rId25"/>
      <w:footerReference w:type="first" r:id="rId26"/>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911DA" w14:textId="77777777" w:rsidR="006C3D15" w:rsidRDefault="006C3D15">
      <w:pPr>
        <w:spacing w:after="0" w:line="240" w:lineRule="auto"/>
      </w:pPr>
      <w:r>
        <w:separator/>
      </w:r>
    </w:p>
  </w:endnote>
  <w:endnote w:type="continuationSeparator" w:id="0">
    <w:p w14:paraId="632EF3FA" w14:textId="77777777" w:rsidR="006C3D15" w:rsidRDefault="006C3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dern">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C9B8E" w14:textId="77777777" w:rsidR="00D1571C" w:rsidRDefault="00D1571C">
    <w:pPr>
      <w:pStyle w:val="CellBody-9ptCenterBold"/>
      <w:pBdr>
        <w:top w:val="single" w:sz="8" w:space="0" w:color="auto"/>
      </w:pBdr>
      <w:tabs>
        <w:tab w:val="clear" w:pos="460"/>
        <w:tab w:val="center" w:pos="4680"/>
        <w:tab w:val="right" w:pos="9360"/>
      </w:tabs>
      <w:jc w:val="left"/>
      <w:rPr>
        <w:rFonts w:ascii="Times New Roman" w:hAnsi="Times New Roman" w:cs="Times New Roman"/>
        <w:w w:val="100"/>
        <w:sz w:val="20"/>
        <w:szCs w:val="20"/>
      </w:rPr>
    </w:pPr>
    <w:r>
      <w:rPr>
        <w:rStyle w:val="Bold"/>
        <w:b/>
        <w:bCs/>
      </w:rPr>
      <w:t>Section 000</w:t>
    </w:r>
    <w:r>
      <w:rPr>
        <w:rFonts w:ascii="Times New Roman" w:hAnsi="Times New Roman" w:cs="Times New Roman"/>
        <w:b w:val="0"/>
        <w:bCs w:val="0"/>
        <w:w w:val="100"/>
        <w:sz w:val="20"/>
        <w:szCs w:val="20"/>
      </w:rPr>
      <w:t xml:space="preserve"> </w:t>
    </w:r>
    <w:r>
      <w:rPr>
        <w:rFonts w:ascii="Times New Roman" w:hAnsi="Times New Roman" w:cs="Times New Roman"/>
        <w:b w:val="0"/>
        <w:bCs w:val="0"/>
        <w:w w:val="100"/>
        <w:sz w:val="20"/>
        <w:szCs w:val="20"/>
      </w:rPr>
      <w:tab/>
    </w:r>
    <w:r>
      <w:rPr>
        <w:rStyle w:val="Bold"/>
        <w:b/>
        <w:bCs/>
      </w:rPr>
      <w:t xml:space="preserve">Page </w:t>
    </w:r>
    <w:r>
      <w:rPr>
        <w:rStyle w:val="Bold"/>
        <w:b/>
        <w:bCs/>
      </w:rPr>
      <w:fldChar w:fldCharType="begin"/>
    </w:r>
    <w:r>
      <w:rPr>
        <w:rStyle w:val="Bold"/>
        <w:b/>
        <w:bCs/>
      </w:rPr>
      <w:instrText xml:space="preserve"> PAGE </w:instrText>
    </w:r>
    <w:r>
      <w:rPr>
        <w:rStyle w:val="Bold"/>
        <w:b/>
        <w:bCs/>
      </w:rPr>
      <w:fldChar w:fldCharType="separate"/>
    </w:r>
    <w:r>
      <w:rPr>
        <w:rStyle w:val="Bold"/>
        <w:b/>
        <w:bCs/>
      </w:rPr>
      <w:t>4</w:t>
    </w:r>
    <w:r>
      <w:rPr>
        <w:rStyle w:val="Bold"/>
        <w:b/>
        <w:bCs/>
      </w:rPr>
      <w:fldChar w:fldCharType="end"/>
    </w:r>
    <w:r>
      <w:rPr>
        <w:rFonts w:ascii="Times New Roman" w:hAnsi="Times New Roman" w:cs="Times New Roman"/>
        <w:b w:val="0"/>
        <w:bCs w:val="0"/>
        <w:w w:val="100"/>
        <w:sz w:val="20"/>
        <w:szCs w:val="20"/>
      </w:rPr>
      <w:tab/>
    </w:r>
    <w:r>
      <w:rPr>
        <w:rFonts w:ascii="Times New Roman" w:hAnsi="Times New Roman" w:cs="Times New Roman"/>
        <w:w w:val="100"/>
        <w:sz w:val="20"/>
        <w:szCs w:val="20"/>
      </w:rPr>
      <w:t>LKnight_05222026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7E29C" w14:textId="77777777" w:rsidR="00D1571C" w:rsidRDefault="00D1571C">
    <w:pPr>
      <w:pStyle w:val="CellBody-9ptCenterBold"/>
      <w:pBdr>
        <w:top w:val="single" w:sz="8" w:space="0" w:color="auto"/>
      </w:pBdr>
      <w:tabs>
        <w:tab w:val="clear" w:pos="460"/>
        <w:tab w:val="center" w:pos="4680"/>
        <w:tab w:val="right" w:pos="9360"/>
      </w:tabs>
      <w:jc w:val="left"/>
      <w:rPr>
        <w:rFonts w:ascii="Times New Roman" w:hAnsi="Times New Roman" w:cs="Times New Roman"/>
        <w:b w:val="0"/>
        <w:bCs w:val="0"/>
        <w:w w:val="100"/>
        <w:sz w:val="20"/>
        <w:szCs w:val="20"/>
      </w:rPr>
    </w:pPr>
    <w:r>
      <w:rPr>
        <w:rStyle w:val="Bold"/>
        <w:b/>
        <w:bCs/>
      </w:rPr>
      <w:t>Section 000</w:t>
    </w:r>
    <w:r>
      <w:rPr>
        <w:rFonts w:ascii="Times New Roman" w:hAnsi="Times New Roman" w:cs="Times New Roman"/>
        <w:b w:val="0"/>
        <w:bCs w:val="0"/>
        <w:w w:val="100"/>
        <w:sz w:val="20"/>
        <w:szCs w:val="20"/>
      </w:rPr>
      <w:tab/>
    </w:r>
    <w:r>
      <w:rPr>
        <w:rStyle w:val="Bold"/>
        <w:b/>
        <w:bCs/>
      </w:rPr>
      <w:t xml:space="preserve">Page </w:t>
    </w:r>
    <w:r>
      <w:rPr>
        <w:rStyle w:val="Bold"/>
        <w:b/>
        <w:bCs/>
      </w:rPr>
      <w:fldChar w:fldCharType="begin"/>
    </w:r>
    <w:r>
      <w:rPr>
        <w:rStyle w:val="Bold"/>
        <w:b/>
        <w:bCs/>
      </w:rPr>
      <w:instrText xml:space="preserve"> PAGE </w:instrText>
    </w:r>
    <w:r>
      <w:rPr>
        <w:rStyle w:val="Bold"/>
        <w:b/>
        <w:bCs/>
      </w:rPr>
      <w:fldChar w:fldCharType="separate"/>
    </w:r>
    <w:r>
      <w:rPr>
        <w:rStyle w:val="Bold"/>
        <w:b/>
        <w:bCs/>
      </w:rPr>
      <w:t>4</w:t>
    </w:r>
    <w:r>
      <w:rPr>
        <w:rStyle w:val="Bold"/>
        <w:b/>
        <w:bCs/>
      </w:rPr>
      <w:fldChar w:fldCharType="end"/>
    </w:r>
    <w:r>
      <w:rPr>
        <w:rFonts w:ascii="Times New Roman" w:hAnsi="Times New Roman" w:cs="Times New Roman"/>
        <w:b w:val="0"/>
        <w:bCs w:val="0"/>
        <w:w w:val="100"/>
        <w:sz w:val="20"/>
        <w:szCs w:val="20"/>
      </w:rPr>
      <w:tab/>
      <w:t>LKnight_05222026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E48C8" w14:textId="77777777" w:rsidR="006C3D15" w:rsidRDefault="006C3D15">
      <w:pPr>
        <w:spacing w:after="0" w:line="240" w:lineRule="auto"/>
      </w:pPr>
      <w:r>
        <w:separator/>
      </w:r>
    </w:p>
  </w:footnote>
  <w:footnote w:type="continuationSeparator" w:id="0">
    <w:p w14:paraId="179F59E8" w14:textId="77777777" w:rsidR="006C3D15" w:rsidRDefault="006C3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82605" w14:textId="77777777" w:rsidR="00D1571C" w:rsidRDefault="00D1571C">
    <w:pPr>
      <w:widowControl w:val="0"/>
      <w:autoSpaceDE w:val="0"/>
      <w:autoSpaceDN w:val="0"/>
      <w:adjustRightInd w:val="0"/>
      <w:spacing w:after="0" w:line="240" w:lineRule="auto"/>
      <w:rPr>
        <w:rFonts w:ascii="Modern" w:hAnsi="Modern"/>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6214" w14:textId="77777777" w:rsidR="00D1571C" w:rsidRDefault="00D1571C">
    <w:pPr>
      <w:pStyle w:val="CellBody-9ptCenterBold"/>
      <w:widowControl/>
      <w:tabs>
        <w:tab w:val="clear" w:pos="460"/>
        <w:tab w:val="right" w:pos="1440"/>
      </w:tabs>
      <w:spacing w:before="100" w:after="180" w:line="260" w:lineRule="atLeast"/>
      <w:jc w:val="left"/>
      <w:rPr>
        <w:rFonts w:ascii="Times New Roman" w:hAnsi="Times New Roman" w:cs="Times New Roman"/>
        <w:b w:val="0"/>
        <w:bCs w:val="0"/>
        <w:w w:val="1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53FA"/>
    <w:rsid w:val="000F1BF5"/>
    <w:rsid w:val="001B09AD"/>
    <w:rsid w:val="00605C9B"/>
    <w:rsid w:val="006C3D15"/>
    <w:rsid w:val="00877A6E"/>
    <w:rsid w:val="00AA0B57"/>
    <w:rsid w:val="00AC06E0"/>
    <w:rsid w:val="00AE53FA"/>
    <w:rsid w:val="00CF40EE"/>
    <w:rsid w:val="00D1571C"/>
    <w:rsid w:val="00EA56B9"/>
    <w:rsid w:val="00EA75D6"/>
    <w:rsid w:val="00FD3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F153AC"/>
  <w14:defaultImageDpi w14:val="0"/>
  <w15:docId w15:val="{8601D660-8232-40A8-BD9D-D9FA5D0F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Body-9ptCenterBold">
    <w:name w:val="CellBody-9pt_Center_Bold"/>
    <w:pPr>
      <w:widowControl w:val="0"/>
      <w:tabs>
        <w:tab w:val="left" w:pos="460"/>
      </w:tabs>
      <w:suppressAutoHyphens/>
      <w:autoSpaceDE w:val="0"/>
      <w:autoSpaceDN w:val="0"/>
      <w:adjustRightInd w:val="0"/>
      <w:spacing w:line="220" w:lineRule="atLeast"/>
      <w:jc w:val="center"/>
    </w:pPr>
    <w:rPr>
      <w:rFonts w:ascii="Arial" w:hAnsi="Arial" w:cs="Arial"/>
      <w:b/>
      <w:bCs/>
      <w:color w:val="000000"/>
      <w:w w:val="0"/>
      <w:sz w:val="18"/>
      <w:szCs w:val="18"/>
    </w:rPr>
  </w:style>
  <w:style w:type="paragraph" w:customStyle="1" w:styleId="Body">
    <w:name w:val="Body"/>
    <w:uiPriority w:val="99"/>
    <w:pPr>
      <w:widowControl w:val="0"/>
      <w:tabs>
        <w:tab w:val="left" w:pos="720"/>
        <w:tab w:val="left" w:pos="1440"/>
        <w:tab w:val="right" w:pos="9360"/>
      </w:tabs>
      <w:suppressAutoHyphens/>
      <w:autoSpaceDE w:val="0"/>
      <w:autoSpaceDN w:val="0"/>
      <w:adjustRightInd w:val="0"/>
      <w:spacing w:line="200" w:lineRule="atLeast"/>
      <w:jc w:val="both"/>
    </w:pPr>
    <w:rPr>
      <w:rFonts w:ascii="Times New Roman" w:hAnsi="Times New Roman"/>
      <w:color w:val="000000"/>
      <w:w w:val="0"/>
    </w:rPr>
  </w:style>
  <w:style w:type="paragraph" w:customStyle="1" w:styleId="CellBody-9ptIndenta">
    <w:name w:val="CellBody-9pt_Indent_a"/>
    <w:uiPriority w:val="99"/>
    <w:pPr>
      <w:widowControl w:val="0"/>
      <w:tabs>
        <w:tab w:val="left" w:pos="100"/>
        <w:tab w:val="left" w:pos="460"/>
      </w:tabs>
      <w:suppressAutoHyphens/>
      <w:autoSpaceDE w:val="0"/>
      <w:autoSpaceDN w:val="0"/>
      <w:adjustRightInd w:val="0"/>
      <w:spacing w:line="220" w:lineRule="atLeast"/>
      <w:ind w:left="120" w:hanging="120"/>
    </w:pPr>
    <w:rPr>
      <w:rFonts w:ascii="Arial" w:hAnsi="Arial" w:cs="Arial"/>
      <w:color w:val="000000"/>
      <w:w w:val="0"/>
      <w:sz w:val="18"/>
      <w:szCs w:val="18"/>
    </w:rPr>
  </w:style>
  <w:style w:type="paragraph" w:customStyle="1" w:styleId="CellBody-9ptIndenta0">
    <w:name w:val="CellBody-9pt_Indent_a+"/>
    <w:uiPriority w:val="99"/>
    <w:pPr>
      <w:widowControl w:val="0"/>
      <w:tabs>
        <w:tab w:val="left" w:pos="100"/>
        <w:tab w:val="left" w:pos="460"/>
      </w:tabs>
      <w:suppressAutoHyphens/>
      <w:autoSpaceDE w:val="0"/>
      <w:autoSpaceDN w:val="0"/>
      <w:adjustRightInd w:val="0"/>
      <w:spacing w:line="220" w:lineRule="atLeast"/>
      <w:ind w:left="120" w:hanging="120"/>
    </w:pPr>
    <w:rPr>
      <w:rFonts w:ascii="Arial" w:hAnsi="Arial" w:cs="Arial"/>
      <w:color w:val="000000"/>
      <w:w w:val="0"/>
      <w:sz w:val="18"/>
      <w:szCs w:val="18"/>
    </w:rPr>
  </w:style>
  <w:style w:type="paragraph" w:customStyle="1" w:styleId="CenterTOC">
    <w:name w:val="CenterTOC"/>
    <w:next w:val="Center"/>
    <w:uiPriority w:val="99"/>
    <w:pPr>
      <w:widowControl w:val="0"/>
      <w:tabs>
        <w:tab w:val="left" w:pos="460"/>
      </w:tabs>
      <w:suppressAutoHyphens/>
      <w:autoSpaceDE w:val="0"/>
      <w:autoSpaceDN w:val="0"/>
      <w:adjustRightInd w:val="0"/>
      <w:spacing w:before="120" w:after="120" w:line="220" w:lineRule="atLeast"/>
      <w:jc w:val="center"/>
    </w:pPr>
    <w:rPr>
      <w:rFonts w:ascii="Arial" w:hAnsi="Arial" w:cs="Arial"/>
      <w:b/>
      <w:bCs/>
      <w:color w:val="000000"/>
      <w:w w:val="0"/>
      <w:sz w:val="24"/>
      <w:szCs w:val="24"/>
    </w:rPr>
  </w:style>
  <w:style w:type="paragraph" w:customStyle="1" w:styleId="SectionNameTOCCenter">
    <w:name w:val="Section Name TOC_Center"/>
    <w:next w:val="Body"/>
    <w:uiPriority w:val="99"/>
    <w:pPr>
      <w:tabs>
        <w:tab w:val="left" w:pos="720"/>
        <w:tab w:val="left" w:pos="1440"/>
        <w:tab w:val="right" w:pos="7200"/>
        <w:tab w:val="left" w:pos="8460"/>
      </w:tabs>
      <w:suppressAutoHyphens/>
      <w:autoSpaceDE w:val="0"/>
      <w:autoSpaceDN w:val="0"/>
      <w:adjustRightInd w:val="0"/>
      <w:spacing w:line="200" w:lineRule="atLeast"/>
      <w:jc w:val="center"/>
    </w:pPr>
    <w:rPr>
      <w:rFonts w:ascii="Times New Roman" w:hAnsi="Times New Roman"/>
      <w:b/>
      <w:bCs/>
      <w:caps/>
      <w:color w:val="000000"/>
      <w:w w:val="0"/>
    </w:rPr>
  </w:style>
  <w:style w:type="paragraph" w:customStyle="1" w:styleId="IDAPATOC">
    <w:name w:val="IDAPA TOC"/>
    <w:next w:val="Center"/>
    <w:uiPriority w:val="99"/>
    <w:pPr>
      <w:keepNext/>
      <w:tabs>
        <w:tab w:val="left" w:pos="720"/>
      </w:tabs>
      <w:suppressAutoHyphens/>
      <w:autoSpaceDE w:val="0"/>
      <w:autoSpaceDN w:val="0"/>
      <w:adjustRightInd w:val="0"/>
      <w:spacing w:before="120" w:after="120" w:line="240" w:lineRule="atLeast"/>
      <w:jc w:val="center"/>
    </w:pPr>
    <w:rPr>
      <w:rFonts w:ascii="Arial" w:hAnsi="Arial" w:cs="Arial"/>
      <w:b/>
      <w:bCs/>
      <w:color w:val="000000"/>
      <w:w w:val="0"/>
      <w:sz w:val="24"/>
      <w:szCs w:val="24"/>
    </w:rPr>
  </w:style>
  <w:style w:type="paragraph" w:customStyle="1" w:styleId="TitleTOCOmni">
    <w:name w:val="Title TOC Omni"/>
    <w:uiPriority w:val="99"/>
    <w:pPr>
      <w:keepNext/>
      <w:tabs>
        <w:tab w:val="left" w:pos="720"/>
      </w:tabs>
      <w:suppressAutoHyphens/>
      <w:autoSpaceDE w:val="0"/>
      <w:autoSpaceDN w:val="0"/>
      <w:adjustRightInd w:val="0"/>
      <w:spacing w:before="120" w:after="120" w:line="200" w:lineRule="atLeast"/>
      <w:jc w:val="center"/>
    </w:pPr>
    <w:rPr>
      <w:rFonts w:ascii="Arial" w:hAnsi="Arial" w:cs="Arial"/>
      <w:b/>
      <w:bCs/>
      <w:caps/>
      <w:color w:val="000000"/>
      <w:w w:val="0"/>
    </w:rPr>
  </w:style>
  <w:style w:type="paragraph" w:customStyle="1" w:styleId="CellHeading-9ptRight">
    <w:name w:val="CellHeading-9pt_Right"/>
    <w:uiPriority w:val="99"/>
    <w:pPr>
      <w:widowControl w:val="0"/>
      <w:suppressAutoHyphens/>
      <w:autoSpaceDE w:val="0"/>
      <w:autoSpaceDN w:val="0"/>
      <w:adjustRightInd w:val="0"/>
      <w:spacing w:line="220" w:lineRule="atLeast"/>
      <w:jc w:val="right"/>
    </w:pPr>
    <w:rPr>
      <w:rFonts w:ascii="Arial" w:hAnsi="Arial" w:cs="Arial"/>
      <w:b/>
      <w:bCs/>
      <w:color w:val="000000"/>
      <w:w w:val="0"/>
      <w:sz w:val="18"/>
      <w:szCs w:val="18"/>
    </w:rPr>
  </w:style>
  <w:style w:type="paragraph" w:customStyle="1" w:styleId="SectionNameTOC">
    <w:name w:val="Section Name TOC"/>
    <w:uiPriority w:val="99"/>
    <w:pPr>
      <w:tabs>
        <w:tab w:val="left" w:pos="720"/>
        <w:tab w:val="left" w:pos="1440"/>
        <w:tab w:val="right" w:pos="7200"/>
        <w:tab w:val="left" w:pos="8460"/>
      </w:tabs>
      <w:suppressAutoHyphens/>
      <w:autoSpaceDE w:val="0"/>
      <w:autoSpaceDN w:val="0"/>
      <w:adjustRightInd w:val="0"/>
      <w:spacing w:line="200" w:lineRule="atLeast"/>
      <w:jc w:val="both"/>
    </w:pPr>
    <w:rPr>
      <w:rFonts w:ascii="Times New Roman" w:hAnsi="Times New Roman"/>
      <w:b/>
      <w:bCs/>
      <w:caps/>
      <w:color w:val="000000"/>
      <w:w w:val="0"/>
    </w:rPr>
  </w:style>
  <w:style w:type="paragraph" w:customStyle="1" w:styleId="TitleTOC">
    <w:name w:val="Title TOC"/>
    <w:uiPriority w:val="99"/>
    <w:pPr>
      <w:keepNext/>
      <w:tabs>
        <w:tab w:val="left" w:pos="720"/>
      </w:tabs>
      <w:suppressAutoHyphens/>
      <w:autoSpaceDE w:val="0"/>
      <w:autoSpaceDN w:val="0"/>
      <w:adjustRightInd w:val="0"/>
      <w:spacing w:before="120" w:after="120" w:line="200" w:lineRule="atLeast"/>
      <w:jc w:val="center"/>
    </w:pPr>
    <w:rPr>
      <w:rFonts w:ascii="Arial" w:hAnsi="Arial" w:cs="Arial"/>
      <w:b/>
      <w:bCs/>
      <w:caps/>
      <w:color w:val="000000"/>
      <w:w w:val="0"/>
    </w:rPr>
  </w:style>
  <w:style w:type="paragraph" w:customStyle="1" w:styleId="SectionNameTOC2">
    <w:name w:val="Section Name TOC2"/>
    <w:uiPriority w:val="99"/>
    <w:pPr>
      <w:tabs>
        <w:tab w:val="left" w:pos="720"/>
        <w:tab w:val="left" w:pos="1440"/>
        <w:tab w:val="right" w:pos="7200"/>
        <w:tab w:val="left" w:pos="8460"/>
      </w:tabs>
      <w:suppressAutoHyphens/>
      <w:autoSpaceDE w:val="0"/>
      <w:autoSpaceDN w:val="0"/>
      <w:adjustRightInd w:val="0"/>
      <w:spacing w:line="200" w:lineRule="atLeast"/>
      <w:jc w:val="both"/>
    </w:pPr>
    <w:rPr>
      <w:rFonts w:ascii="Times New Roman" w:hAnsi="Times New Roman"/>
      <w:b/>
      <w:bCs/>
      <w:caps/>
      <w:color w:val="000000"/>
      <w:w w:val="0"/>
    </w:rPr>
  </w:style>
  <w:style w:type="paragraph" w:customStyle="1" w:styleId="CellBody">
    <w:name w:val="CellBody"/>
    <w:uiPriority w:val="99"/>
    <w:pPr>
      <w:widowControl w:val="0"/>
      <w:tabs>
        <w:tab w:val="left" w:pos="460"/>
      </w:tabs>
      <w:autoSpaceDE w:val="0"/>
      <w:autoSpaceDN w:val="0"/>
      <w:adjustRightInd w:val="0"/>
      <w:spacing w:line="220" w:lineRule="atLeast"/>
      <w:ind w:left="640" w:hanging="640"/>
    </w:pPr>
    <w:rPr>
      <w:rFonts w:ascii="Times New Roman" w:hAnsi="Times New Roman"/>
      <w:color w:val="000000"/>
      <w:w w:val="0"/>
      <w:sz w:val="18"/>
      <w:szCs w:val="18"/>
    </w:rPr>
  </w:style>
  <w:style w:type="paragraph" w:customStyle="1" w:styleId="BodyCenter">
    <w:name w:val="Body_Center"/>
    <w:uiPriority w:val="99"/>
    <w:pPr>
      <w:keepNext/>
      <w:tabs>
        <w:tab w:val="left" w:pos="720"/>
      </w:tabs>
      <w:suppressAutoHyphens/>
      <w:autoSpaceDE w:val="0"/>
      <w:autoSpaceDN w:val="0"/>
      <w:adjustRightInd w:val="0"/>
      <w:spacing w:before="40" w:after="40" w:line="200" w:lineRule="atLeast"/>
      <w:jc w:val="center"/>
    </w:pPr>
    <w:rPr>
      <w:rFonts w:ascii="Times New Roman" w:hAnsi="Times New Roman"/>
      <w:b/>
      <w:bCs/>
      <w:color w:val="000000"/>
      <w:w w:val="0"/>
    </w:rPr>
  </w:style>
  <w:style w:type="paragraph" w:customStyle="1" w:styleId="Body01">
    <w:name w:val="Body01"/>
    <w:uiPriority w:val="99"/>
    <w:pPr>
      <w:widowControl w:val="0"/>
      <w:tabs>
        <w:tab w:val="left" w:pos="360"/>
        <w:tab w:val="left" w:pos="900"/>
        <w:tab w:val="right" w:pos="9360"/>
      </w:tabs>
      <w:suppressAutoHyphens/>
      <w:autoSpaceDE w:val="0"/>
      <w:autoSpaceDN w:val="0"/>
      <w:adjustRightInd w:val="0"/>
      <w:spacing w:line="200" w:lineRule="atLeast"/>
      <w:ind w:left="900" w:hanging="900"/>
      <w:jc w:val="both"/>
    </w:pPr>
    <w:rPr>
      <w:rFonts w:ascii="Times New Roman" w:hAnsi="Times New Roman"/>
      <w:color w:val="000000"/>
      <w:w w:val="0"/>
    </w:rPr>
  </w:style>
  <w:style w:type="paragraph" w:customStyle="1" w:styleId="BodyCenterTOC">
    <w:name w:val="Body_CenterTOC"/>
    <w:uiPriority w:val="99"/>
    <w:pPr>
      <w:keepNext/>
      <w:widowControl w:val="0"/>
      <w:tabs>
        <w:tab w:val="left" w:pos="720"/>
        <w:tab w:val="left" w:pos="1440"/>
        <w:tab w:val="right" w:pos="9360"/>
      </w:tabs>
      <w:suppressAutoHyphens/>
      <w:autoSpaceDE w:val="0"/>
      <w:autoSpaceDN w:val="0"/>
      <w:adjustRightInd w:val="0"/>
      <w:spacing w:before="40" w:after="40" w:line="200" w:lineRule="atLeast"/>
      <w:jc w:val="center"/>
    </w:pPr>
    <w:rPr>
      <w:rFonts w:ascii="Times New Roman" w:hAnsi="Times New Roman"/>
      <w:b/>
      <w:bCs/>
      <w:caps/>
      <w:color w:val="000000"/>
      <w:w w:val="0"/>
    </w:rPr>
  </w:style>
  <w:style w:type="paragraph" w:customStyle="1" w:styleId="CellHeading-9pt-Left">
    <w:name w:val="CellHeading-9pt-Left"/>
    <w:uiPriority w:val="99"/>
    <w:pPr>
      <w:widowControl w:val="0"/>
      <w:suppressAutoHyphens/>
      <w:autoSpaceDE w:val="0"/>
      <w:autoSpaceDN w:val="0"/>
      <w:adjustRightInd w:val="0"/>
      <w:spacing w:line="220" w:lineRule="atLeast"/>
    </w:pPr>
    <w:rPr>
      <w:rFonts w:ascii="Arial" w:hAnsi="Arial" w:cs="Arial"/>
      <w:b/>
      <w:bCs/>
      <w:color w:val="000000"/>
      <w:w w:val="0"/>
      <w:sz w:val="18"/>
      <w:szCs w:val="18"/>
    </w:rPr>
  </w:style>
  <w:style w:type="paragraph" w:customStyle="1" w:styleId="CellBody-9ptNolines">
    <w:name w:val="CellBody-9pt_No_lines"/>
    <w:uiPriority w:val="99"/>
    <w:pPr>
      <w:widowControl w:val="0"/>
      <w:tabs>
        <w:tab w:val="left" w:pos="460"/>
      </w:tabs>
      <w:suppressAutoHyphens/>
      <w:autoSpaceDE w:val="0"/>
      <w:autoSpaceDN w:val="0"/>
      <w:adjustRightInd w:val="0"/>
      <w:spacing w:line="240" w:lineRule="atLeast"/>
    </w:pPr>
    <w:rPr>
      <w:rFonts w:ascii="Times New Roman" w:hAnsi="Times New Roman"/>
      <w:color w:val="000000"/>
      <w:w w:val="0"/>
    </w:rPr>
  </w:style>
  <w:style w:type="paragraph" w:customStyle="1" w:styleId="SiFiSecNam">
    <w:name w:val="SiFiSecNam"/>
    <w:uiPriority w:val="99"/>
    <w:pPr>
      <w:tabs>
        <w:tab w:val="left" w:pos="720"/>
        <w:tab w:val="left" w:pos="1440"/>
        <w:tab w:val="right" w:pos="7200"/>
        <w:tab w:val="left" w:pos="8460"/>
      </w:tabs>
      <w:suppressAutoHyphens/>
      <w:autoSpaceDE w:val="0"/>
      <w:autoSpaceDN w:val="0"/>
      <w:adjustRightInd w:val="0"/>
      <w:spacing w:line="200" w:lineRule="atLeast"/>
      <w:jc w:val="both"/>
    </w:pPr>
    <w:rPr>
      <w:rFonts w:ascii="Times New Roman" w:hAnsi="Times New Roman"/>
      <w:b/>
      <w:bCs/>
      <w:caps/>
      <w:color w:val="000000"/>
      <w:w w:val="0"/>
    </w:rPr>
  </w:style>
  <w:style w:type="paragraph" w:customStyle="1" w:styleId="Center">
    <w:name w:val="Center"/>
    <w:uiPriority w:val="99"/>
    <w:pPr>
      <w:keepNext/>
      <w:tabs>
        <w:tab w:val="left" w:pos="720"/>
      </w:tabs>
      <w:suppressAutoHyphens/>
      <w:autoSpaceDE w:val="0"/>
      <w:autoSpaceDN w:val="0"/>
      <w:adjustRightInd w:val="0"/>
      <w:spacing w:before="140" w:after="140" w:line="200" w:lineRule="atLeast"/>
      <w:jc w:val="center"/>
    </w:pPr>
    <w:rPr>
      <w:rFonts w:ascii="Arial" w:hAnsi="Arial" w:cs="Arial"/>
      <w:b/>
      <w:bCs/>
      <w:color w:val="000000"/>
      <w:w w:val="0"/>
    </w:rPr>
  </w:style>
  <w:style w:type="paragraph" w:customStyle="1" w:styleId="CellHeading-9pt">
    <w:name w:val="CellHeading-9pt"/>
    <w:uiPriority w:val="99"/>
    <w:pPr>
      <w:widowControl w:val="0"/>
      <w:suppressAutoHyphens/>
      <w:autoSpaceDE w:val="0"/>
      <w:autoSpaceDN w:val="0"/>
      <w:adjustRightInd w:val="0"/>
      <w:spacing w:line="220" w:lineRule="atLeast"/>
      <w:jc w:val="center"/>
    </w:pPr>
    <w:rPr>
      <w:rFonts w:ascii="Arial" w:hAnsi="Arial" w:cs="Arial"/>
      <w:b/>
      <w:bCs/>
      <w:color w:val="000000"/>
      <w:w w:val="0"/>
      <w:sz w:val="18"/>
      <w:szCs w:val="18"/>
    </w:rPr>
  </w:style>
  <w:style w:type="paragraph" w:customStyle="1" w:styleId="CellBody-9pt">
    <w:name w:val="CellBody-9pt"/>
    <w:uiPriority w:val="99"/>
    <w:pPr>
      <w:widowControl w:val="0"/>
      <w:tabs>
        <w:tab w:val="left" w:pos="460"/>
      </w:tabs>
      <w:autoSpaceDE w:val="0"/>
      <w:autoSpaceDN w:val="0"/>
      <w:adjustRightInd w:val="0"/>
      <w:spacing w:line="220" w:lineRule="atLeast"/>
    </w:pPr>
    <w:rPr>
      <w:rFonts w:ascii="Arial" w:hAnsi="Arial" w:cs="Arial"/>
      <w:color w:val="000000"/>
      <w:w w:val="0"/>
      <w:sz w:val="18"/>
      <w:szCs w:val="18"/>
    </w:rPr>
  </w:style>
  <w:style w:type="paragraph" w:customStyle="1" w:styleId="CellBody-9ptLeft">
    <w:name w:val="CellBody-9pt_Left"/>
    <w:uiPriority w:val="99"/>
    <w:pPr>
      <w:widowControl w:val="0"/>
      <w:tabs>
        <w:tab w:val="left" w:pos="460"/>
      </w:tabs>
      <w:autoSpaceDE w:val="0"/>
      <w:autoSpaceDN w:val="0"/>
      <w:adjustRightInd w:val="0"/>
      <w:spacing w:line="220" w:lineRule="atLeast"/>
    </w:pPr>
    <w:rPr>
      <w:rFonts w:ascii="Arial" w:hAnsi="Arial" w:cs="Arial"/>
      <w:color w:val="000000"/>
      <w:w w:val="0"/>
      <w:sz w:val="18"/>
      <w:szCs w:val="18"/>
    </w:rPr>
  </w:style>
  <w:style w:type="paragraph" w:customStyle="1" w:styleId="CellBody-9ptRight">
    <w:name w:val="CellBody-9pt_Right"/>
    <w:uiPriority w:val="99"/>
    <w:pPr>
      <w:widowControl w:val="0"/>
      <w:tabs>
        <w:tab w:val="left" w:pos="460"/>
      </w:tabs>
      <w:autoSpaceDE w:val="0"/>
      <w:autoSpaceDN w:val="0"/>
      <w:adjustRightInd w:val="0"/>
      <w:spacing w:line="220" w:lineRule="atLeast"/>
      <w:jc w:val="right"/>
    </w:pPr>
    <w:rPr>
      <w:rFonts w:ascii="Arial" w:hAnsi="Arial" w:cs="Arial"/>
      <w:color w:val="000000"/>
      <w:w w:val="0"/>
      <w:sz w:val="18"/>
      <w:szCs w:val="18"/>
    </w:rPr>
  </w:style>
  <w:style w:type="paragraph" w:customStyle="1" w:styleId="CellHeading">
    <w:name w:val="CellHeading"/>
    <w:uiPriority w:val="99"/>
    <w:pPr>
      <w:widowControl w:val="0"/>
      <w:suppressAutoHyphens/>
      <w:autoSpaceDE w:val="0"/>
      <w:autoSpaceDN w:val="0"/>
      <w:adjustRightInd w:val="0"/>
      <w:spacing w:line="220" w:lineRule="atLeast"/>
      <w:jc w:val="center"/>
    </w:pPr>
    <w:rPr>
      <w:rFonts w:ascii="Arial" w:hAnsi="Arial" w:cs="Arial"/>
      <w:b/>
      <w:bCs/>
      <w:color w:val="000000"/>
      <w:w w:val="0"/>
      <w:sz w:val="18"/>
      <w:szCs w:val="18"/>
    </w:rPr>
  </w:style>
  <w:style w:type="paragraph" w:customStyle="1" w:styleId="Indented">
    <w:name w:val="Indented"/>
    <w:uiPriority w:val="99"/>
    <w:pPr>
      <w:tabs>
        <w:tab w:val="left" w:pos="360"/>
      </w:tabs>
      <w:autoSpaceDE w:val="0"/>
      <w:autoSpaceDN w:val="0"/>
      <w:adjustRightInd w:val="0"/>
      <w:spacing w:line="280" w:lineRule="atLeast"/>
      <w:ind w:left="360"/>
    </w:pPr>
    <w:rPr>
      <w:rFonts w:ascii="Times New Roman" w:hAnsi="Times New Roman"/>
      <w:color w:val="000000"/>
      <w:w w:val="0"/>
      <w:sz w:val="24"/>
      <w:szCs w:val="24"/>
    </w:rPr>
  </w:style>
  <w:style w:type="paragraph" w:customStyle="1" w:styleId="CellBody-9ptCenter">
    <w:name w:val="CellBody-9pt_Center"/>
    <w:uiPriority w:val="99"/>
    <w:pPr>
      <w:widowControl w:val="0"/>
      <w:tabs>
        <w:tab w:val="left" w:pos="460"/>
      </w:tabs>
      <w:autoSpaceDE w:val="0"/>
      <w:autoSpaceDN w:val="0"/>
      <w:adjustRightInd w:val="0"/>
      <w:spacing w:line="220" w:lineRule="atLeast"/>
      <w:jc w:val="center"/>
    </w:pPr>
    <w:rPr>
      <w:rFonts w:ascii="Arial" w:hAnsi="Arial" w:cs="Arial"/>
      <w:color w:val="000000"/>
      <w:w w:val="0"/>
      <w:sz w:val="18"/>
      <w:szCs w:val="18"/>
    </w:rPr>
  </w:style>
  <w:style w:type="paragraph" w:customStyle="1" w:styleId="Bodyi">
    <w:name w:val="Bodyi"/>
    <w:uiPriority w:val="99"/>
    <w:pPr>
      <w:widowControl w:val="0"/>
      <w:tabs>
        <w:tab w:val="left" w:pos="1260"/>
        <w:tab w:val="left" w:pos="1620"/>
        <w:tab w:val="right" w:pos="9360"/>
      </w:tabs>
      <w:suppressAutoHyphens/>
      <w:autoSpaceDE w:val="0"/>
      <w:autoSpaceDN w:val="0"/>
      <w:adjustRightInd w:val="0"/>
      <w:spacing w:line="200" w:lineRule="atLeast"/>
      <w:ind w:left="1620" w:hanging="1620"/>
      <w:jc w:val="both"/>
    </w:pPr>
    <w:rPr>
      <w:rFonts w:ascii="Times New Roman" w:hAnsi="Times New Roman"/>
      <w:color w:val="000000"/>
      <w:w w:val="0"/>
    </w:rPr>
  </w:style>
  <w:style w:type="paragraph" w:customStyle="1" w:styleId="Bodya">
    <w:name w:val="Bodya"/>
    <w:uiPriority w:val="99"/>
    <w:pPr>
      <w:widowControl w:val="0"/>
      <w:tabs>
        <w:tab w:val="left" w:pos="900"/>
        <w:tab w:val="left" w:pos="1260"/>
        <w:tab w:val="right" w:pos="9360"/>
      </w:tabs>
      <w:suppressAutoHyphens/>
      <w:autoSpaceDE w:val="0"/>
      <w:autoSpaceDN w:val="0"/>
      <w:adjustRightInd w:val="0"/>
      <w:spacing w:line="200" w:lineRule="atLeast"/>
      <w:ind w:left="1260" w:hanging="1260"/>
      <w:jc w:val="both"/>
    </w:pPr>
    <w:rPr>
      <w:rFonts w:ascii="Times New Roman" w:hAnsi="Times New Roman"/>
      <w:color w:val="000000"/>
      <w:w w:val="0"/>
    </w:rPr>
  </w:style>
  <w:style w:type="paragraph" w:customStyle="1" w:styleId="CellBody-10pt">
    <w:name w:val="CellBody-10pt"/>
    <w:uiPriority w:val="99"/>
    <w:pPr>
      <w:widowControl w:val="0"/>
      <w:tabs>
        <w:tab w:val="left" w:pos="460"/>
      </w:tabs>
      <w:autoSpaceDE w:val="0"/>
      <w:autoSpaceDN w:val="0"/>
      <w:adjustRightInd w:val="0"/>
      <w:spacing w:line="220" w:lineRule="atLeast"/>
      <w:ind w:left="640" w:hanging="640"/>
    </w:pPr>
    <w:rPr>
      <w:rFonts w:ascii="Arial" w:hAnsi="Arial" w:cs="Arial"/>
      <w:color w:val="000000"/>
      <w:w w:val="0"/>
      <w:sz w:val="18"/>
      <w:szCs w:val="18"/>
    </w:rPr>
  </w:style>
  <w:style w:type="paragraph" w:customStyle="1" w:styleId="CellHeading-10pt">
    <w:name w:val="CellHeading-10pt"/>
    <w:uiPriority w:val="99"/>
    <w:pPr>
      <w:widowControl w:val="0"/>
      <w:suppressAutoHyphens/>
      <w:autoSpaceDE w:val="0"/>
      <w:autoSpaceDN w:val="0"/>
      <w:adjustRightInd w:val="0"/>
      <w:spacing w:line="240" w:lineRule="atLeast"/>
      <w:jc w:val="center"/>
    </w:pPr>
    <w:rPr>
      <w:rFonts w:ascii="Arial" w:hAnsi="Arial" w:cs="Arial"/>
      <w:b/>
      <w:bCs/>
      <w:color w:val="000000"/>
      <w:w w:val="0"/>
    </w:rPr>
  </w:style>
  <w:style w:type="paragraph" w:customStyle="1" w:styleId="CellBody-9ptIndent">
    <w:name w:val="CellBody-9pt_Indent"/>
    <w:uiPriority w:val="99"/>
    <w:pPr>
      <w:widowControl w:val="0"/>
      <w:tabs>
        <w:tab w:val="left" w:pos="460"/>
      </w:tabs>
      <w:suppressAutoHyphens/>
      <w:autoSpaceDE w:val="0"/>
      <w:autoSpaceDN w:val="0"/>
      <w:adjustRightInd w:val="0"/>
      <w:spacing w:line="220" w:lineRule="atLeast"/>
      <w:ind w:left="120" w:hanging="120"/>
    </w:pPr>
    <w:rPr>
      <w:rFonts w:ascii="Arial" w:hAnsi="Arial" w:cs="Arial"/>
      <w:color w:val="000000"/>
      <w:w w:val="0"/>
      <w:sz w:val="18"/>
      <w:szCs w:val="18"/>
    </w:rPr>
  </w:style>
  <w:style w:type="character" w:customStyle="1" w:styleId="SiFiNamesTable">
    <w:name w:val="SiFiNames_Table"/>
    <w:uiPriority w:val="99"/>
    <w:rPr>
      <w:rFonts w:ascii="Arial" w:hAnsi="Arial" w:cs="Arial"/>
      <w:i/>
      <w:iCs/>
      <w:color w:val="000000"/>
      <w:spacing w:val="0"/>
      <w:w w:val="100"/>
      <w:sz w:val="18"/>
      <w:szCs w:val="18"/>
      <w:u w:val="none"/>
      <w:vertAlign w:val="baseline"/>
      <w:lang w:val="en-US"/>
    </w:rPr>
  </w:style>
  <w:style w:type="character" w:customStyle="1" w:styleId="Bold">
    <w:name w:val="Bold"/>
    <w:uiPriority w:val="99"/>
    <w:rPr>
      <w:rFonts w:ascii="Times New Roman" w:hAnsi="Times New Roman" w:cs="Times New Roman"/>
      <w:b/>
      <w:bCs/>
      <w:color w:val="000000"/>
      <w:spacing w:val="0"/>
      <w:w w:val="100"/>
      <w:sz w:val="20"/>
      <w:szCs w:val="20"/>
      <w:u w:val="none"/>
      <w:vertAlign w:val="baseline"/>
      <w:lang w:val="en-US"/>
    </w:rPr>
  </w:style>
  <w:style w:type="character" w:customStyle="1" w:styleId="BoldItalics">
    <w:name w:val="Bold_Italics"/>
    <w:uiPriority w:val="99"/>
    <w:rPr>
      <w:rFonts w:ascii="Times New Roman" w:hAnsi="Times New Roman" w:cs="Times New Roman"/>
      <w:b/>
      <w:bCs/>
      <w:i/>
      <w:iCs/>
      <w:color w:val="000000"/>
      <w:spacing w:val="0"/>
      <w:w w:val="100"/>
      <w:sz w:val="20"/>
      <w:szCs w:val="20"/>
      <w:u w:val="none"/>
      <w:vertAlign w:val="baseline"/>
      <w:lang w:val="en-US"/>
    </w:rPr>
  </w:style>
  <w:style w:type="character" w:customStyle="1" w:styleId="BodyBold">
    <w:name w:val="Body_Bold"/>
    <w:uiPriority w:val="99"/>
    <w:rPr>
      <w:rFonts w:ascii="Times New Roman" w:hAnsi="Times New Roman" w:cs="Times New Roman"/>
      <w:b/>
      <w:bCs/>
      <w:color w:val="000000"/>
      <w:spacing w:val="0"/>
      <w:w w:val="100"/>
      <w:sz w:val="20"/>
      <w:szCs w:val="20"/>
      <w:u w:val="none"/>
      <w:vertAlign w:val="baseline"/>
      <w:lang w:val="en-US"/>
    </w:rPr>
  </w:style>
  <w:style w:type="character" w:customStyle="1" w:styleId="TableBold">
    <w:name w:val="Table_Bold"/>
    <w:uiPriority w:val="99"/>
    <w:rPr>
      <w:rFonts w:ascii="Arial" w:hAnsi="Arial" w:cs="Arial"/>
      <w:b/>
      <w:bCs/>
      <w:color w:val="000000"/>
      <w:spacing w:val="0"/>
      <w:w w:val="100"/>
      <w:sz w:val="18"/>
      <w:szCs w:val="18"/>
      <w:u w:val="none"/>
      <w:vertAlign w:val="baseline"/>
      <w:lang w:val="en-US"/>
    </w:rPr>
  </w:style>
  <w:style w:type="character" w:customStyle="1" w:styleId="SiFiBold">
    <w:name w:val="SiFi_Bold"/>
    <w:uiPriority w:val="99"/>
    <w:rPr>
      <w:rFonts w:ascii="Times New Roman" w:hAnsi="Times New Roman" w:cs="Times New Roman"/>
      <w:b/>
      <w:bCs/>
      <w:i/>
      <w:iCs/>
      <w:color w:val="000000"/>
      <w:spacing w:val="0"/>
      <w:w w:val="100"/>
      <w:sz w:val="20"/>
      <w:szCs w:val="20"/>
      <w:u w:val="none"/>
      <w:vertAlign w:val="baseline"/>
      <w:lang w:val="en-US"/>
    </w:rPr>
  </w:style>
  <w:style w:type="character" w:customStyle="1" w:styleId="CellBodyBold">
    <w:name w:val="CellBody_Bold"/>
    <w:uiPriority w:val="99"/>
    <w:rPr>
      <w:rFonts w:ascii="Arial" w:hAnsi="Arial" w:cs="Arial"/>
      <w:b/>
      <w:bCs/>
      <w:color w:val="000000"/>
      <w:spacing w:val="0"/>
      <w:w w:val="100"/>
      <w:sz w:val="18"/>
      <w:szCs w:val="18"/>
      <w:u w:val="none"/>
      <w:vertAlign w:val="baseline"/>
      <w:lang w:val="en-US"/>
    </w:rPr>
  </w:style>
  <w:style w:type="character" w:customStyle="1" w:styleId="Subscript">
    <w:name w:val="Subscript"/>
    <w:uiPriority w:val="99"/>
    <w:rPr>
      <w:vertAlign w:val="subscript"/>
    </w:rPr>
  </w:style>
  <w:style w:type="character" w:customStyle="1" w:styleId="Superscript">
    <w:name w:val="Superscript"/>
    <w:uiPriority w:val="99"/>
    <w:rPr>
      <w:vertAlign w:val="superscript"/>
    </w:rPr>
  </w:style>
  <w:style w:type="character" w:customStyle="1" w:styleId="EquationVariables">
    <w:name w:val="EquationVariables"/>
    <w:uiPriority w:val="99"/>
    <w:rPr>
      <w:i/>
      <w:iCs/>
    </w:rPr>
  </w:style>
  <w:style w:type="character" w:customStyle="1" w:styleId="Italics">
    <w:name w:val="Italics"/>
    <w:uiPriority w:val="99"/>
    <w:rPr>
      <w:i/>
      <w:iCs/>
      <w:vertAlign w:val="baseline"/>
    </w:rPr>
  </w:style>
  <w:style w:type="character" w:customStyle="1" w:styleId="SectionNameSiFi">
    <w:name w:val="SectionNameSiFi"/>
    <w:uiPriority w:val="99"/>
    <w:rPr>
      <w:rFonts w:ascii="Times New Roman" w:hAnsi="Times New Roman" w:cs="Times New Roman"/>
      <w:b/>
      <w:bCs/>
      <w:i/>
      <w:iCs/>
      <w:caps/>
      <w:color w:val="000000"/>
      <w:spacing w:val="0"/>
      <w:w w:val="100"/>
      <w:sz w:val="20"/>
      <w:szCs w:val="20"/>
      <w:u w:val="none"/>
      <w:vertAlign w:val="baseline"/>
      <w:lang w:val="en-US"/>
    </w:rPr>
  </w:style>
  <w:style w:type="character" w:customStyle="1" w:styleId="SiFiNames">
    <w:name w:val="SiFiNames"/>
    <w:uiPriority w:val="99"/>
    <w:rPr>
      <w:rFonts w:ascii="Times New Roman" w:hAnsi="Times New Roman" w:cs="Times New Roman"/>
      <w:i/>
      <w:iCs/>
      <w:color w:val="000000"/>
      <w:spacing w:val="0"/>
      <w:w w:val="100"/>
      <w:sz w:val="20"/>
      <w:szCs w:val="20"/>
      <w:u w:val="none"/>
      <w:vertAlign w:val="baseline"/>
      <w:lang w:val="en-US"/>
    </w:rPr>
  </w:style>
  <w:style w:type="character" w:customStyle="1" w:styleId="SiFiNames0">
    <w:name w:val="SiFi_Names"/>
    <w:uiPriority w:val="99"/>
    <w:rPr>
      <w:rFonts w:ascii="Times New Roman" w:hAnsi="Times New Roman" w:cs="Times New Roman"/>
      <w:i/>
      <w:iCs/>
      <w:color w:val="000000"/>
      <w:spacing w:val="0"/>
      <w:w w:val="100"/>
      <w:sz w:val="20"/>
      <w:szCs w:val="20"/>
      <w:u w:val="none"/>
      <w:vertAlign w:val="baseline"/>
      <w:lang w:val="en-US"/>
    </w:rPr>
  </w:style>
  <w:style w:type="character" w:styleId="Hyperlink">
    <w:name w:val="Hyperlink"/>
    <w:uiPriority w:val="99"/>
    <w:rPr>
      <w:rFonts w:ascii="Times New Roman" w:hAnsi="Times New Roman" w:cs="Times New Roman"/>
      <w:color w:val="0000FF"/>
      <w:spacing w:val="0"/>
      <w:w w:val="100"/>
      <w:sz w:val="20"/>
      <w:szCs w:val="20"/>
      <w:u w:val="none"/>
      <w:vertAlign w:val="baseline"/>
      <w:lang w:val="en-US"/>
    </w:rPr>
  </w:style>
  <w:style w:type="character" w:customStyle="1" w:styleId="HyperlinkUnderline">
    <w:name w:val="Hyperlink_Underline"/>
    <w:uiPriority w:val="99"/>
    <w:rPr>
      <w:rFonts w:ascii="Times New Roman" w:hAnsi="Times New Roman" w:cs="Times New Roman"/>
      <w:b/>
      <w:bCs/>
      <w:color w:val="0000FF"/>
      <w:spacing w:val="0"/>
      <w:w w:val="100"/>
      <w:sz w:val="20"/>
      <w:szCs w:val="20"/>
      <w:u w:val="none"/>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egislature.idaho.gov/statutesrules/idstat/title71/t71ch2/sect71-233/" TargetMode="External"/><Relationship Id="rId18" Type="http://schemas.openxmlformats.org/officeDocument/2006/relationships/hyperlink" Target="https://nvlpubs.nist.gov/nistpubs/hb/2025/NIST.HB.133-2025.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legislature.idaho.gov/statutesrules/idstat/title71/t71ch1/sect71-113/" TargetMode="External"/><Relationship Id="rId7" Type="http://schemas.openxmlformats.org/officeDocument/2006/relationships/webSettings" Target="webSettings.xml"/><Relationship Id="rId12" Type="http://schemas.openxmlformats.org/officeDocument/2006/relationships/hyperlink" Target="https://legislature.idaho.gov/statutesrules/idstat/title71/t71ch2/sect71-232/" TargetMode="External"/><Relationship Id="rId17" Type="http://schemas.openxmlformats.org/officeDocument/2006/relationships/hyperlink" Target="https://nvlpubs.nist.gov/nistpubs/hb/2025/NIST.HB.130-2025.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legislature.idaho.gov/statutesrules/idstat/title71/t71ch4/sect71-408/" TargetMode="External"/><Relationship Id="rId20" Type="http://schemas.openxmlformats.org/officeDocument/2006/relationships/hyperlink" Target="https://www.astm.org/products-services/standards-and-publications/standards/petroleum-standard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lature.idaho.gov/statutesrules/idstat/title71/t71ch1/sect71-121/"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legislature.idaho.gov/statutesrules/idstat/title71/t71ch2/sect71-241/"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legislature.idaho.gov/statutesrules/idstat/title71/t71ch1/sect71-111/" TargetMode="External"/><Relationship Id="rId19" Type="http://schemas.openxmlformats.org/officeDocument/2006/relationships/hyperlink" Target="https://legislature.idaho.gov/statutesrules/idstat/title37/t37ch25/sect37-2506/"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legislature.idaho.gov/statutesrules/idstat/title71/t71ch2/sect71-236/" TargetMode="External"/><Relationship Id="rId22" Type="http://schemas.openxmlformats.org/officeDocument/2006/relationships/hyperlink" Target="https://iic.idaho.gov/wp-content/uploads/2025/02/Update-to-the-State-of-Idaho-Mileage-Rate-2025.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619d7729-17ec-432f-96e5-5ca9df5b17c9"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eb5bc728-491f-4d36-a76c-7ab9fdf93845" xsi:nil="true"/>
    <Notes xmlns="2ec46676-1998-46d9-b1f4-761db36e2617" xsi:nil="true"/>
    <lcf76f155ced4ddcb4097134ff3c332f xmlns="2ec46676-1998-46d9-b1f4-761db36e26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41FF74CD74C848A5B4F45CFAB65C39" ma:contentTypeVersion="14" ma:contentTypeDescription="Create a new document." ma:contentTypeScope="" ma:versionID="793af825226db00a21764cc5c66bc1f2">
  <xsd:schema xmlns:xsd="http://www.w3.org/2001/XMLSchema" xmlns:xs="http://www.w3.org/2001/XMLSchema" xmlns:p="http://schemas.microsoft.com/office/2006/metadata/properties" xmlns:ns2="2ec46676-1998-46d9-b1f4-761db36e2617" xmlns:ns3="eb5bc728-491f-4d36-a76c-7ab9fdf93845" targetNamespace="http://schemas.microsoft.com/office/2006/metadata/properties" ma:root="true" ma:fieldsID="556bcac8c924aa9b82ca475109c7ffd6" ns2:_="" ns3:_="">
    <xsd:import namespace="2ec46676-1998-46d9-b1f4-761db36e2617"/>
    <xsd:import namespace="eb5bc728-491f-4d36-a76c-7ab9fdf938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46676-1998-46d9-b1f4-761db36e2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d7729-17ec-432f-96e5-5ca9df5b17c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bc728-491f-4d36-a76c-7ab9fdf938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f647389-96e2-49eb-abbc-d923d6956df3}" ma:internalName="TaxCatchAll" ma:showField="CatchAllData" ma:web="eb5bc728-491f-4d36-a76c-7ab9fdf938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67FBC-E4CD-4C0A-AE47-A53B35C4288D}">
  <ds:schemaRefs>
    <ds:schemaRef ds:uri="Microsoft.SharePoint.Taxonomy.ContentTypeSync"/>
  </ds:schemaRefs>
</ds:datastoreItem>
</file>

<file path=customXml/itemProps2.xml><?xml version="1.0" encoding="utf-8"?>
<ds:datastoreItem xmlns:ds="http://schemas.openxmlformats.org/officeDocument/2006/customXml" ds:itemID="{2C847BCB-EDBC-44F0-829D-992FC517026B}">
  <ds:schemaRefs>
    <ds:schemaRef ds:uri="http://schemas.microsoft.com/office/2006/metadata/properties"/>
    <ds:schemaRef ds:uri="http://schemas.microsoft.com/office/infopath/2007/PartnerControls"/>
    <ds:schemaRef ds:uri="eb5bc728-491f-4d36-a76c-7ab9fdf93845"/>
    <ds:schemaRef ds:uri="2ec46676-1998-46d9-b1f4-761db36e2617"/>
  </ds:schemaRefs>
</ds:datastoreItem>
</file>

<file path=customXml/itemProps3.xml><?xml version="1.0" encoding="utf-8"?>
<ds:datastoreItem xmlns:ds="http://schemas.openxmlformats.org/officeDocument/2006/customXml" ds:itemID="{E9B197AC-BE81-41FE-BAE7-EF77EF80D464}">
  <ds:schemaRefs>
    <ds:schemaRef ds:uri="http://schemas.microsoft.com/sharepoint/v3/contenttype/forms"/>
  </ds:schemaRefs>
</ds:datastoreItem>
</file>

<file path=customXml/itemProps4.xml><?xml version="1.0" encoding="utf-8"?>
<ds:datastoreItem xmlns:ds="http://schemas.openxmlformats.org/officeDocument/2006/customXml" ds:itemID="{B7887E58-5B50-4782-8784-8A80E07D2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46676-1998-46d9-b1f4-761db36e2617"/>
    <ds:schemaRef ds:uri="eb5bc728-491f-4d36-a76c-7ab9fdf93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1326</Words>
  <Characters>7561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8870</CharactersWithSpaces>
  <SharedDoc>false</SharedDoc>
  <HLinks>
    <vt:vector size="78" baseType="variant">
      <vt:variant>
        <vt:i4>6553709</vt:i4>
      </vt:variant>
      <vt:variant>
        <vt:i4>36</vt:i4>
      </vt:variant>
      <vt:variant>
        <vt:i4>0</vt:i4>
      </vt:variant>
      <vt:variant>
        <vt:i4>5</vt:i4>
      </vt:variant>
      <vt:variant>
        <vt:lpwstr>https://iic.idaho.gov/wp-content/uploads/2025/02/Update-to-the-State-of-Idaho-Mileage-Rate-2025.pdf</vt:lpwstr>
      </vt:variant>
      <vt:variant>
        <vt:lpwstr/>
      </vt:variant>
      <vt:variant>
        <vt:i4>1245255</vt:i4>
      </vt:variant>
      <vt:variant>
        <vt:i4>33</vt:i4>
      </vt:variant>
      <vt:variant>
        <vt:i4>0</vt:i4>
      </vt:variant>
      <vt:variant>
        <vt:i4>5</vt:i4>
      </vt:variant>
      <vt:variant>
        <vt:lpwstr>https://legislature.idaho.gov/statutesrules/idstat/title71/t71ch1/sect71-113/</vt:lpwstr>
      </vt:variant>
      <vt:variant>
        <vt:lpwstr/>
      </vt:variant>
      <vt:variant>
        <vt:i4>1310727</vt:i4>
      </vt:variant>
      <vt:variant>
        <vt:i4>30</vt:i4>
      </vt:variant>
      <vt:variant>
        <vt:i4>0</vt:i4>
      </vt:variant>
      <vt:variant>
        <vt:i4>5</vt:i4>
      </vt:variant>
      <vt:variant>
        <vt:lpwstr>https://www.astm.org/products-services/standards-and-publications/standards/petroleum-standards.html</vt:lpwstr>
      </vt:variant>
      <vt:variant>
        <vt:lpwstr/>
      </vt:variant>
      <vt:variant>
        <vt:i4>2490484</vt:i4>
      </vt:variant>
      <vt:variant>
        <vt:i4>27</vt:i4>
      </vt:variant>
      <vt:variant>
        <vt:i4>0</vt:i4>
      </vt:variant>
      <vt:variant>
        <vt:i4>5</vt:i4>
      </vt:variant>
      <vt:variant>
        <vt:lpwstr>https://legislature.idaho.gov/statutesrules/idstat/title37/t37ch25/sect37-2506/</vt:lpwstr>
      </vt:variant>
      <vt:variant>
        <vt:lpwstr/>
      </vt:variant>
      <vt:variant>
        <vt:i4>7078007</vt:i4>
      </vt:variant>
      <vt:variant>
        <vt:i4>24</vt:i4>
      </vt:variant>
      <vt:variant>
        <vt:i4>0</vt:i4>
      </vt:variant>
      <vt:variant>
        <vt:i4>5</vt:i4>
      </vt:variant>
      <vt:variant>
        <vt:lpwstr>https://nvlpubs.nist.gov/nistpubs/hb/2025/NIST.HB.133-2025.pdf</vt:lpwstr>
      </vt:variant>
      <vt:variant>
        <vt:lpwstr/>
      </vt:variant>
      <vt:variant>
        <vt:i4>7078004</vt:i4>
      </vt:variant>
      <vt:variant>
        <vt:i4>21</vt:i4>
      </vt:variant>
      <vt:variant>
        <vt:i4>0</vt:i4>
      </vt:variant>
      <vt:variant>
        <vt:i4>5</vt:i4>
      </vt:variant>
      <vt:variant>
        <vt:lpwstr>https://nvlpubs.nist.gov/nistpubs/hb/2025/NIST.HB.130-2025.pdf</vt:lpwstr>
      </vt:variant>
      <vt:variant>
        <vt:lpwstr/>
      </vt:variant>
      <vt:variant>
        <vt:i4>1900611</vt:i4>
      </vt:variant>
      <vt:variant>
        <vt:i4>18</vt:i4>
      </vt:variant>
      <vt:variant>
        <vt:i4>0</vt:i4>
      </vt:variant>
      <vt:variant>
        <vt:i4>5</vt:i4>
      </vt:variant>
      <vt:variant>
        <vt:lpwstr>https://legislature.idaho.gov/statutesrules/idstat/title71/t71ch4/sect71-408/</vt:lpwstr>
      </vt:variant>
      <vt:variant>
        <vt:lpwstr/>
      </vt:variant>
      <vt:variant>
        <vt:i4>1179713</vt:i4>
      </vt:variant>
      <vt:variant>
        <vt:i4>15</vt:i4>
      </vt:variant>
      <vt:variant>
        <vt:i4>0</vt:i4>
      </vt:variant>
      <vt:variant>
        <vt:i4>5</vt:i4>
      </vt:variant>
      <vt:variant>
        <vt:lpwstr>https://legislature.idaho.gov/statutesrules/idstat/title71/t71ch2/sect71-241/</vt:lpwstr>
      </vt:variant>
      <vt:variant>
        <vt:lpwstr/>
      </vt:variant>
      <vt:variant>
        <vt:i4>1376326</vt:i4>
      </vt:variant>
      <vt:variant>
        <vt:i4>12</vt:i4>
      </vt:variant>
      <vt:variant>
        <vt:i4>0</vt:i4>
      </vt:variant>
      <vt:variant>
        <vt:i4>5</vt:i4>
      </vt:variant>
      <vt:variant>
        <vt:lpwstr>https://legislature.idaho.gov/statutesrules/idstat/title71/t71ch2/sect71-236/</vt:lpwstr>
      </vt:variant>
      <vt:variant>
        <vt:lpwstr/>
      </vt:variant>
      <vt:variant>
        <vt:i4>1048646</vt:i4>
      </vt:variant>
      <vt:variant>
        <vt:i4>9</vt:i4>
      </vt:variant>
      <vt:variant>
        <vt:i4>0</vt:i4>
      </vt:variant>
      <vt:variant>
        <vt:i4>5</vt:i4>
      </vt:variant>
      <vt:variant>
        <vt:lpwstr>https://legislature.idaho.gov/statutesrules/idstat/title71/t71ch2/sect71-233/</vt:lpwstr>
      </vt:variant>
      <vt:variant>
        <vt:lpwstr/>
      </vt:variant>
      <vt:variant>
        <vt:i4>1114182</vt:i4>
      </vt:variant>
      <vt:variant>
        <vt:i4>6</vt:i4>
      </vt:variant>
      <vt:variant>
        <vt:i4>0</vt:i4>
      </vt:variant>
      <vt:variant>
        <vt:i4>5</vt:i4>
      </vt:variant>
      <vt:variant>
        <vt:lpwstr>https://legislature.idaho.gov/statutesrules/idstat/title71/t71ch2/sect71-232/</vt:lpwstr>
      </vt:variant>
      <vt:variant>
        <vt:lpwstr/>
      </vt:variant>
      <vt:variant>
        <vt:i4>1114180</vt:i4>
      </vt:variant>
      <vt:variant>
        <vt:i4>3</vt:i4>
      </vt:variant>
      <vt:variant>
        <vt:i4>0</vt:i4>
      </vt:variant>
      <vt:variant>
        <vt:i4>5</vt:i4>
      </vt:variant>
      <vt:variant>
        <vt:lpwstr>https://legislature.idaho.gov/statutesrules/idstat/title71/t71ch1/sect71-121/</vt:lpwstr>
      </vt:variant>
      <vt:variant>
        <vt:lpwstr/>
      </vt:variant>
      <vt:variant>
        <vt:i4>1114183</vt:i4>
      </vt:variant>
      <vt:variant>
        <vt:i4>0</vt:i4>
      </vt:variant>
      <vt:variant>
        <vt:i4>0</vt:i4>
      </vt:variant>
      <vt:variant>
        <vt:i4>5</vt:i4>
      </vt:variant>
      <vt:variant>
        <vt:lpwstr>https://legislature.idaho.gov/statutesrules/idstat/title71/t71ch1/sect71-111/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Nunley</dc:creator>
  <cp:keywords/>
  <dc:description/>
  <cp:lastModifiedBy>Sydney Kennedy</cp:lastModifiedBy>
  <cp:revision>2</cp:revision>
  <dcterms:created xsi:type="dcterms:W3CDTF">2026-07-24T22:16:00Z</dcterms:created>
  <dcterms:modified xsi:type="dcterms:W3CDTF">2026-07-24T22:16:00Z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0x010100BD41FF74CD74C848A5B4F45CFAB65C39</vt:lpwstr>
  </property>
</Properties>
</file>